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10219"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hAnsi="Times New Roman" w:cs="Times New Roman" w:hint="eastAsia"/>
          <w:b/>
          <w:bCs/>
          <w:sz w:val="36"/>
          <w:szCs w:val="36"/>
        </w:rPr>
      </w:pPr>
    </w:p>
    <w:p w14:paraId="448A4F8D"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hAnsi="Times New Roman" w:cs="Times New Roman"/>
          <w:b/>
          <w:bCs/>
          <w:sz w:val="36"/>
          <w:szCs w:val="36"/>
        </w:rPr>
      </w:pPr>
    </w:p>
    <w:p w14:paraId="091A9F3B"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hAnsi="Times New Roman" w:cs="Times New Roman"/>
          <w:b/>
          <w:bCs/>
          <w:sz w:val="36"/>
          <w:szCs w:val="36"/>
        </w:rPr>
      </w:pPr>
    </w:p>
    <w:p w14:paraId="5D5B4717"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hAnsi="Times New Roman" w:cs="Times New Roman"/>
          <w:b/>
          <w:bCs/>
          <w:sz w:val="36"/>
          <w:szCs w:val="36"/>
        </w:rPr>
      </w:pPr>
    </w:p>
    <w:p w14:paraId="11C32117"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hAnsi="Times New Roman" w:cs="Times New Roman"/>
          <w:b/>
          <w:bCs/>
          <w:sz w:val="36"/>
          <w:szCs w:val="36"/>
        </w:rPr>
      </w:pPr>
    </w:p>
    <w:p w14:paraId="05D919C5"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hAnsi="Times New Roman" w:cs="Times New Roman"/>
          <w:b/>
          <w:bCs/>
          <w:sz w:val="36"/>
          <w:szCs w:val="36"/>
        </w:rPr>
      </w:pPr>
    </w:p>
    <w:p w14:paraId="74BE46B2"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hAnsi="Times New Roman" w:cs="Times New Roman"/>
          <w:b/>
          <w:bCs/>
          <w:sz w:val="36"/>
          <w:szCs w:val="36"/>
        </w:rPr>
      </w:pPr>
    </w:p>
    <w:p w14:paraId="42AB1A58"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hAnsi="Times New Roman" w:cs="Times New Roman"/>
          <w:b/>
          <w:bCs/>
          <w:sz w:val="36"/>
          <w:szCs w:val="36"/>
        </w:rPr>
      </w:pPr>
    </w:p>
    <w:p w14:paraId="391E693A"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hAnsi="Times New Roman" w:cs="Times New Roman"/>
          <w:b/>
          <w:bCs/>
          <w:sz w:val="36"/>
          <w:szCs w:val="36"/>
        </w:rPr>
      </w:pPr>
    </w:p>
    <w:p w14:paraId="5EB7A5F1" w14:textId="77777777" w:rsidR="000F04BD" w:rsidRDefault="00E2067C">
      <w:pPr>
        <w:autoSpaceDE w:val="0"/>
        <w:autoSpaceDN w:val="0"/>
        <w:adjustRightInd w:val="0"/>
        <w:spacing w:before="100" w:beforeAutospacing="1" w:after="100" w:afterAutospacing="1"/>
        <w:ind w:firstLine="601"/>
        <w:jc w:val="center"/>
        <w:divId w:val="1816415741"/>
      </w:pPr>
      <w:r>
        <w:rPr>
          <w:rFonts w:ascii="仿宋_GB2312" w:eastAsia="仿宋_GB2312" w:hAnsi="Times New Roman" w:cs="仿宋_GB2312" w:hint="eastAsia"/>
          <w:b/>
          <w:bCs/>
          <w:color w:val="FF0000"/>
          <w:sz w:val="44"/>
          <w:szCs w:val="44"/>
        </w:rPr>
        <w:t>内蒙古自治区呼和浩特市口腔医院</w:t>
      </w:r>
    </w:p>
    <w:p w14:paraId="46660084" w14:textId="77777777" w:rsidR="000F04BD" w:rsidRDefault="00E2067C">
      <w:pPr>
        <w:autoSpaceDE w:val="0"/>
        <w:autoSpaceDN w:val="0"/>
        <w:adjustRightInd w:val="0"/>
        <w:spacing w:before="100" w:beforeAutospacing="1" w:after="100" w:afterAutospacing="1"/>
        <w:ind w:firstLine="601"/>
        <w:jc w:val="center"/>
        <w:divId w:val="1816415741"/>
        <w:rPr>
          <w:rFonts w:ascii="Times New Roman" w:eastAsia="仿宋_GB2312" w:hAnsi="Times New Roman" w:cs="Times New Roman"/>
          <w:b/>
          <w:bCs/>
          <w:sz w:val="44"/>
          <w:szCs w:val="44"/>
        </w:rPr>
      </w:pPr>
      <w:r>
        <w:rPr>
          <w:rFonts w:ascii="仿宋_GB2312" w:eastAsia="仿宋_GB2312" w:hAnsi="Times New Roman" w:cs="仿宋_GB2312" w:hint="eastAsia"/>
          <w:b/>
          <w:bCs/>
          <w:sz w:val="44"/>
          <w:szCs w:val="44"/>
        </w:rPr>
        <w:t>2019年度决算公开报告</w:t>
      </w:r>
    </w:p>
    <w:p w14:paraId="522EAC5B"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eastAsia="仿宋_GB2312" w:hAnsi="Times New Roman" w:cs="Times New Roman"/>
          <w:b/>
          <w:bCs/>
          <w:sz w:val="36"/>
          <w:szCs w:val="36"/>
        </w:rPr>
      </w:pPr>
    </w:p>
    <w:p w14:paraId="6397082E"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eastAsia="仿宋_GB2312" w:hAnsi="Times New Roman" w:cs="Times New Roman"/>
          <w:b/>
          <w:bCs/>
          <w:sz w:val="36"/>
          <w:szCs w:val="36"/>
        </w:rPr>
      </w:pPr>
    </w:p>
    <w:p w14:paraId="3421C6D8"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eastAsia="仿宋_GB2312" w:hAnsi="Times New Roman" w:cs="Times New Roman"/>
          <w:b/>
          <w:bCs/>
          <w:sz w:val="36"/>
          <w:szCs w:val="36"/>
        </w:rPr>
      </w:pPr>
    </w:p>
    <w:p w14:paraId="0ED62929"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eastAsia="仿宋_GB2312" w:hAnsi="Times New Roman" w:cs="Times New Roman"/>
          <w:b/>
          <w:bCs/>
          <w:sz w:val="36"/>
          <w:szCs w:val="36"/>
        </w:rPr>
      </w:pPr>
    </w:p>
    <w:p w14:paraId="48F5B175" w14:textId="77777777" w:rsidR="000F04BD" w:rsidRDefault="000F04BD">
      <w:pPr>
        <w:autoSpaceDE w:val="0"/>
        <w:autoSpaceDN w:val="0"/>
        <w:adjustRightInd w:val="0"/>
        <w:spacing w:before="100" w:beforeAutospacing="1" w:after="100" w:afterAutospacing="1" w:line="580" w:lineRule="exact"/>
        <w:ind w:firstLine="600"/>
        <w:jc w:val="center"/>
        <w:divId w:val="1816415741"/>
        <w:rPr>
          <w:rFonts w:ascii="Times New Roman" w:eastAsia="仿宋_GB2312" w:hAnsi="Times New Roman" w:cs="Times New Roman"/>
          <w:b/>
          <w:bCs/>
          <w:sz w:val="36"/>
          <w:szCs w:val="36"/>
        </w:rPr>
      </w:pPr>
    </w:p>
    <w:p w14:paraId="14A5ABC0" w14:textId="77777777" w:rsidR="000F04BD" w:rsidRDefault="00E2067C">
      <w:pPr>
        <w:autoSpaceDE w:val="0"/>
        <w:autoSpaceDN w:val="0"/>
        <w:adjustRightInd w:val="0"/>
        <w:spacing w:before="100" w:beforeAutospacing="1" w:after="100" w:afterAutospacing="1"/>
        <w:ind w:firstLine="601"/>
        <w:jc w:val="center"/>
        <w:divId w:val="1816415741"/>
        <w:rPr>
          <w:rFonts w:ascii="Times New Roman" w:eastAsia="仿宋_GB2312" w:hAnsi="Times New Roman" w:cs="Times New Roman"/>
          <w:b/>
          <w:bCs/>
          <w:sz w:val="44"/>
          <w:szCs w:val="44"/>
        </w:rPr>
      </w:pPr>
      <w:r>
        <w:rPr>
          <w:rFonts w:ascii="仿宋_GB2312" w:eastAsia="仿宋_GB2312" w:hAnsi="Times New Roman" w:cs="仿宋_GB2312" w:hint="eastAsia"/>
          <w:b/>
          <w:bCs/>
          <w:sz w:val="44"/>
          <w:szCs w:val="44"/>
        </w:rPr>
        <w:lastRenderedPageBreak/>
        <w:t>目录</w:t>
      </w:r>
    </w:p>
    <w:p w14:paraId="32BA9AD9" w14:textId="77777777" w:rsidR="000F04BD" w:rsidRDefault="000F04BD">
      <w:pPr>
        <w:autoSpaceDE w:val="0"/>
        <w:autoSpaceDN w:val="0"/>
        <w:adjustRightInd w:val="0"/>
        <w:spacing w:before="100" w:beforeAutospacing="1" w:after="100" w:afterAutospacing="1"/>
        <w:ind w:firstLine="601"/>
        <w:divId w:val="1816415741"/>
        <w:rPr>
          <w:rFonts w:ascii="Times New Roman" w:eastAsia="仿宋_GB2312" w:hAnsi="Times New Roman" w:cs="Times New Roman"/>
          <w:b/>
          <w:bCs/>
          <w:sz w:val="44"/>
          <w:szCs w:val="44"/>
        </w:rPr>
      </w:pPr>
    </w:p>
    <w:p w14:paraId="3BD35637"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黑体" w:hAnsi="Times New Roman" w:cs="Times New Roman"/>
          <w:b/>
          <w:bCs/>
          <w:sz w:val="32"/>
          <w:szCs w:val="32"/>
        </w:rPr>
      </w:pPr>
      <w:r>
        <w:rPr>
          <w:rFonts w:ascii="黑体" w:eastAsia="黑体" w:hAnsi="Times New Roman" w:cs="黑体" w:hint="eastAsia"/>
          <w:b/>
          <w:bCs/>
          <w:sz w:val="32"/>
          <w:szCs w:val="32"/>
        </w:rPr>
        <w:t>第一部分 部门基本情况</w:t>
      </w:r>
    </w:p>
    <w:p w14:paraId="359F5E96"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一、部门职责</w:t>
      </w:r>
    </w:p>
    <w:p w14:paraId="3DFC7BD5"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二、机构设置</w:t>
      </w:r>
    </w:p>
    <w:p w14:paraId="1A275DF8"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黑体" w:hAnsi="Times New Roman" w:cs="Times New Roman"/>
          <w:b/>
          <w:bCs/>
          <w:sz w:val="32"/>
          <w:szCs w:val="32"/>
        </w:rPr>
      </w:pPr>
      <w:r>
        <w:rPr>
          <w:rFonts w:ascii="黑体" w:eastAsia="黑体" w:hAnsi="Times New Roman" w:cs="黑体" w:hint="eastAsia"/>
          <w:b/>
          <w:bCs/>
          <w:sz w:val="32"/>
          <w:szCs w:val="32"/>
        </w:rPr>
        <w:t>第二部分 2019年度部门决算情况说明</w:t>
      </w:r>
    </w:p>
    <w:p w14:paraId="734CA06C"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一、关于2019年度预算执行情况分析</w:t>
      </w:r>
    </w:p>
    <w:p w14:paraId="5DB34B50"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二、关于2019年度决算情况说明</w:t>
      </w:r>
    </w:p>
    <w:p w14:paraId="425D3479"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（一）关于收支情况总体说明</w:t>
      </w:r>
    </w:p>
    <w:p w14:paraId="0CB2DBD4"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（二）关于2019年度收入决算情况说明</w:t>
      </w:r>
    </w:p>
    <w:p w14:paraId="44A80DA3"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（三）关于2019年度支出决算情况说明</w:t>
      </w:r>
    </w:p>
    <w:p w14:paraId="7E1FF3D6"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（四）关于2019年度财政拨款收入支出决算总体情况说明</w:t>
      </w:r>
    </w:p>
    <w:p w14:paraId="2ADA5FD7"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（五）关于2019年度一般公共预算财政拨款支出决算情况说明</w:t>
      </w:r>
    </w:p>
    <w:p w14:paraId="169B81C4"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（六）关于2019年度一般公共预算财政拨款基本支出决算情况说明</w:t>
      </w:r>
    </w:p>
    <w:p w14:paraId="66CDFAB1"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（七）关于2019年度财政拨款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经费支出决算情况说明</w:t>
      </w:r>
    </w:p>
    <w:p w14:paraId="071744E0"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Times New Roman" w:eastAsia="仿宋_GB2312" w:hAnsi="Times New Roman" w:cs="Times New Roman"/>
          <w:sz w:val="32"/>
          <w:szCs w:val="32"/>
        </w:rPr>
        <w:tab/>
      </w:r>
      <w:r>
        <w:rPr>
          <w:rFonts w:ascii="仿宋_GB2312" w:eastAsia="仿宋_GB2312" w:hAnsi="Times New Roman" w:cs="仿宋_GB2312" w:hint="eastAsia"/>
          <w:sz w:val="32"/>
          <w:szCs w:val="32"/>
        </w:rPr>
        <w:t>1、财政拨款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经费支出决算总体情况说明</w:t>
      </w:r>
    </w:p>
    <w:p w14:paraId="22BA006C"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Times New Roman" w:eastAsia="仿宋_GB2312" w:hAnsi="Times New Roman" w:cs="Times New Roman"/>
          <w:sz w:val="32"/>
          <w:szCs w:val="32"/>
        </w:rPr>
        <w:tab/>
      </w:r>
      <w:r>
        <w:rPr>
          <w:rFonts w:ascii="仿宋_GB2312" w:eastAsia="仿宋_GB2312" w:hAnsi="Times New Roman" w:cs="仿宋_GB2312" w:hint="eastAsia"/>
          <w:sz w:val="32"/>
          <w:szCs w:val="32"/>
        </w:rPr>
        <w:t>2、财政拨款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经费支出决算具体情况说明</w:t>
      </w:r>
    </w:p>
    <w:p w14:paraId="54AEE7CE"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三、预算绩效情况说明</w:t>
      </w:r>
    </w:p>
    <w:p w14:paraId="54FFA8FE"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（一）预算绩效管理工作开展情况</w:t>
      </w:r>
    </w:p>
    <w:p w14:paraId="6F030C56"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（二）部门决算</w:t>
      </w:r>
      <w:r>
        <w:rPr>
          <w:rStyle w:val="grame"/>
          <w:rFonts w:ascii="仿宋_GB2312" w:eastAsia="仿宋_GB2312" w:hAnsi="Times New Roman" w:cs="仿宋_GB2312" w:hint="eastAsia"/>
          <w:sz w:val="32"/>
          <w:szCs w:val="32"/>
        </w:rPr>
        <w:t>中项目</w:t>
      </w:r>
      <w:r>
        <w:rPr>
          <w:rFonts w:ascii="仿宋_GB2312" w:eastAsia="仿宋_GB2312" w:hAnsi="Times New Roman" w:cs="仿宋_GB2312" w:hint="eastAsia"/>
          <w:sz w:val="32"/>
          <w:szCs w:val="32"/>
        </w:rPr>
        <w:t>绩效自评结果</w:t>
      </w:r>
    </w:p>
    <w:p w14:paraId="62FD26F1"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四、其他重要事项的情况说明</w:t>
      </w:r>
    </w:p>
    <w:p w14:paraId="24CBD461"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（一）机关运行经费支出情况</w:t>
      </w:r>
    </w:p>
    <w:p w14:paraId="3A9F4523"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（二）政府采购支出情况</w:t>
      </w:r>
    </w:p>
    <w:p w14:paraId="0B2C1687"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（三）国有资产占用情况</w:t>
      </w:r>
    </w:p>
    <w:p w14:paraId="3568DF1C" w14:textId="77777777" w:rsidR="000F04BD" w:rsidRDefault="000F04BD">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p>
    <w:p w14:paraId="1343F324"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黑体" w:hAnsi="Times New Roman" w:cs="Times New Roman"/>
          <w:b/>
          <w:bCs/>
          <w:sz w:val="32"/>
          <w:szCs w:val="32"/>
        </w:rPr>
      </w:pPr>
      <w:r>
        <w:rPr>
          <w:rFonts w:ascii="黑体" w:eastAsia="黑体" w:hAnsi="Times New Roman" w:cs="黑体" w:hint="eastAsia"/>
          <w:b/>
          <w:bCs/>
          <w:sz w:val="32"/>
          <w:szCs w:val="32"/>
        </w:rPr>
        <w:t>第三部分 名词解释</w:t>
      </w:r>
    </w:p>
    <w:p w14:paraId="30D367DF"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黑体" w:hAnsi="Times New Roman" w:cs="Times New Roman"/>
          <w:b/>
          <w:bCs/>
          <w:sz w:val="32"/>
          <w:szCs w:val="32"/>
        </w:rPr>
      </w:pPr>
      <w:r>
        <w:rPr>
          <w:rFonts w:ascii="黑体" w:eastAsia="黑体" w:hAnsi="Times New Roman" w:cs="黑体" w:hint="eastAsia"/>
          <w:b/>
          <w:bCs/>
          <w:sz w:val="32"/>
          <w:szCs w:val="32"/>
        </w:rPr>
        <w:t>第四部分 决算公开联系方式及信息反馈渠道</w:t>
      </w:r>
    </w:p>
    <w:p w14:paraId="3944ADE7"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黑体" w:hAnsi="Times New Roman" w:cs="Times New Roman"/>
          <w:b/>
          <w:bCs/>
          <w:sz w:val="32"/>
          <w:szCs w:val="32"/>
        </w:rPr>
      </w:pPr>
      <w:r>
        <w:rPr>
          <w:rFonts w:ascii="黑体" w:eastAsia="黑体" w:hAnsi="Times New Roman" w:cs="黑体" w:hint="eastAsia"/>
          <w:b/>
          <w:bCs/>
          <w:sz w:val="32"/>
          <w:szCs w:val="32"/>
        </w:rPr>
        <w:t>第五部分 部门决算公开表</w:t>
      </w:r>
    </w:p>
    <w:p w14:paraId="1AD0533B"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一、收入支出决算总表</w:t>
      </w:r>
    </w:p>
    <w:p w14:paraId="4515CFE1"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二、收入决算表</w:t>
      </w:r>
    </w:p>
    <w:p w14:paraId="70D4D595"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三、支出决算表</w:t>
      </w:r>
    </w:p>
    <w:p w14:paraId="3012B615"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四、财政拨款收入支出决算总表</w:t>
      </w:r>
    </w:p>
    <w:p w14:paraId="58E00E55"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五、一般公共预算财政拨款支出决算表</w:t>
      </w:r>
    </w:p>
    <w:p w14:paraId="2692B064"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六、一般公共预算财政拨款基本支出决算明细表</w:t>
      </w:r>
    </w:p>
    <w:p w14:paraId="6485BA2D"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七、政府性基金预算财政拨款收入支出决算表</w:t>
      </w:r>
    </w:p>
    <w:p w14:paraId="794445FB" w14:textId="77777777" w:rsidR="000F04BD" w:rsidRDefault="00E2067C">
      <w:pPr>
        <w:autoSpaceDE w:val="0"/>
        <w:autoSpaceDN w:val="0"/>
        <w:adjustRightInd w:val="0"/>
        <w:spacing w:before="100" w:beforeAutospacing="1" w:after="100" w:afterAutospacing="1" w:line="580" w:lineRule="exact"/>
        <w:ind w:firstLine="601"/>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八、机构运行信息表</w:t>
      </w:r>
    </w:p>
    <w:p w14:paraId="4B3DB521" w14:textId="77777777" w:rsidR="000F04BD" w:rsidRDefault="000F04BD">
      <w:pPr>
        <w:autoSpaceDE w:val="0"/>
        <w:autoSpaceDN w:val="0"/>
        <w:adjustRightInd w:val="0"/>
        <w:spacing w:before="100" w:beforeAutospacing="1" w:after="100" w:afterAutospacing="1"/>
        <w:ind w:firstLine="601"/>
        <w:divId w:val="1816415741"/>
        <w:rPr>
          <w:rFonts w:ascii="Times New Roman" w:eastAsia="仿宋_GB2312" w:hAnsi="Times New Roman" w:cs="Times New Roman"/>
          <w:b/>
          <w:bCs/>
          <w:sz w:val="44"/>
          <w:szCs w:val="44"/>
        </w:rPr>
      </w:pPr>
    </w:p>
    <w:p w14:paraId="195A9213" w14:textId="77777777" w:rsidR="000F04BD" w:rsidRDefault="00E2067C">
      <w:pPr>
        <w:divId w:val="1816415741"/>
      </w:pPr>
      <w:r>
        <w:rPr>
          <w:rFonts w:hint="eastAsia"/>
        </w:rPr>
        <w:t xml:space="preserve">  </w:t>
      </w:r>
    </w:p>
    <w:p w14:paraId="42A2A9A3"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b/>
          <w:bCs/>
          <w:sz w:val="32"/>
          <w:szCs w:val="32"/>
        </w:rPr>
        <w:t>第一部分 部门基本情况</w:t>
      </w:r>
    </w:p>
    <w:p w14:paraId="755297AC"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一、部门职责</w:t>
      </w:r>
    </w:p>
    <w:p w14:paraId="7C9189EE" w14:textId="77777777" w:rsidR="000F04BD" w:rsidRDefault="00E2067C">
      <w:pPr>
        <w:spacing w:line="560" w:lineRule="exact"/>
        <w:ind w:firstLineChars="200" w:firstLine="640"/>
        <w:divId w:val="1816415741"/>
        <w:rPr>
          <w:rFonts w:ascii="仿宋_GB2312" w:eastAsia="仿宋_GB2312" w:hAnsi="Times New Roman" w:cs="仿宋_GB2312"/>
          <w:sz w:val="32"/>
          <w:szCs w:val="32"/>
        </w:rPr>
      </w:pPr>
      <w:r>
        <w:rPr>
          <w:rFonts w:ascii="仿宋_GB2312" w:eastAsia="仿宋_GB2312" w:hAnsi="Times New Roman" w:cs="仿宋_GB2312" w:hint="eastAsia"/>
          <w:sz w:val="32"/>
          <w:szCs w:val="32"/>
        </w:rPr>
        <w:t>呼和浩特市口腔医院创建于1985年，是一所集医疗、教学、科研、预防保健于一体的自治区规模最大、医疗技术条件最为雄厚的唯一一所公立三级甲等口腔专科医院，是国家口腔疾病临床医学研究中心核心单位、国家医师资格考试实践技能考试与考官培训基地（口腔类别）、中国牙病防治基金会临床技能培训基地、中华慈善总会“微笑列车——唇腭裂矫治项目”定点医院、北京大学口腔医院口腔医学数字化技术研究与应用联盟单位、内蒙古医科大</w:t>
      </w:r>
      <w:r>
        <w:rPr>
          <w:rFonts w:ascii="仿宋_GB2312" w:eastAsia="仿宋_GB2312" w:hAnsi="Times New Roman" w:cs="仿宋_GB2312" w:hint="eastAsia"/>
          <w:sz w:val="32"/>
          <w:szCs w:val="32"/>
        </w:rPr>
        <w:lastRenderedPageBreak/>
        <w:t>学附属呼和浩特口腔医院、包头医学院附属口腔医院、内蒙古自治区住院医师规范化培训口腔全科协同基地、呼和浩特市口腔医学质量控制中心、呼和浩特口腔健康教育基地。</w:t>
      </w:r>
    </w:p>
    <w:p w14:paraId="766577C1" w14:textId="77777777" w:rsidR="000F04BD" w:rsidRDefault="00E2067C">
      <w:pPr>
        <w:spacing w:line="560" w:lineRule="exact"/>
        <w:ind w:firstLineChars="200" w:firstLine="640"/>
        <w:divId w:val="1816415741"/>
        <w:rPr>
          <w:rFonts w:ascii="仿宋_GB2312" w:eastAsia="仿宋_GB2312" w:hAnsi="Times New Roman" w:cs="仿宋_GB2312"/>
          <w:sz w:val="32"/>
          <w:szCs w:val="32"/>
        </w:rPr>
      </w:pPr>
      <w:r>
        <w:rPr>
          <w:rFonts w:ascii="仿宋_GB2312" w:eastAsia="仿宋_GB2312" w:hAnsi="Times New Roman" w:cs="仿宋_GB2312" w:hint="eastAsia"/>
          <w:sz w:val="32"/>
          <w:szCs w:val="32"/>
        </w:rPr>
        <w:t>我院是具有公益性的卫生事业单位，承担提供基本医疗服务和医学人才培养。向全社会提供预防保健、健康教育和疾病控制等公共卫生服务</w:t>
      </w:r>
    </w:p>
    <w:p w14:paraId="2DB0108A" w14:textId="77777777" w:rsidR="000F04BD" w:rsidRDefault="00E2067C">
      <w:pPr>
        <w:autoSpaceDE w:val="0"/>
        <w:autoSpaceDN w:val="0"/>
        <w:adjustRightInd w:val="0"/>
        <w:spacing w:before="100" w:beforeAutospacing="1" w:after="100" w:afterAutospacing="1" w:line="580" w:lineRule="exact"/>
        <w:ind w:firstLine="600"/>
        <w:divId w:val="1816415741"/>
        <w:rPr>
          <w:rFonts w:ascii="仿宋_GB2312" w:eastAsia="仿宋_GB2312" w:hAnsi="Times New Roman" w:cs="仿宋_GB2312"/>
          <w:sz w:val="32"/>
          <w:szCs w:val="32"/>
        </w:rPr>
      </w:pPr>
      <w:r>
        <w:rPr>
          <w:rFonts w:ascii="仿宋_GB2312" w:eastAsia="仿宋_GB2312" w:hAnsi="Times New Roman" w:cs="仿宋_GB2312" w:hint="eastAsia"/>
          <w:sz w:val="32"/>
          <w:szCs w:val="32"/>
        </w:rPr>
        <w:t>二、机构设置</w:t>
      </w:r>
    </w:p>
    <w:p w14:paraId="5677477D" w14:textId="77777777" w:rsidR="000F04BD" w:rsidRDefault="00E2067C">
      <w:pPr>
        <w:snapToGrid w:val="0"/>
        <w:spacing w:line="560" w:lineRule="exact"/>
        <w:ind w:firstLine="640"/>
        <w:divId w:val="1816415741"/>
        <w:rPr>
          <w:rFonts w:ascii="仿宋_GB2312" w:eastAsia="仿宋_GB2312" w:hAnsi="Times New Roman" w:cs="仿宋_GB2312"/>
          <w:sz w:val="32"/>
          <w:szCs w:val="32"/>
        </w:rPr>
      </w:pPr>
      <w:r>
        <w:rPr>
          <w:rFonts w:ascii="仿宋_GB2312" w:eastAsia="仿宋_GB2312" w:hAnsi="Times New Roman" w:cs="仿宋_GB2312" w:hint="eastAsia"/>
          <w:sz w:val="32"/>
          <w:szCs w:val="32"/>
        </w:rPr>
        <w:t>呼和浩特市口腔医院为财政定额补助单位，2019年末在编人员92人，离退休人员51人，年末实有在职人数198人，设置有牙体牙髓科、口腔修复科、口腔种植科、口腔正畸科、牙周粘膜科、儿童牙病科等临床科室，是一所集医疗、教学、科研、预防保健于一体的自治区规模最大、医疗技术条件最为雄厚的唯一一所公立三级甲等口腔专科医院。</w:t>
      </w:r>
    </w:p>
    <w:p w14:paraId="38FE5995"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第二部分 2019年度部门决算情况说明</w:t>
      </w:r>
    </w:p>
    <w:p w14:paraId="10BF746F"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一、关于2019年度预算执行情况分析</w:t>
      </w:r>
    </w:p>
    <w:p w14:paraId="1BE28EDB" w14:textId="77777777" w:rsidR="000F04BD" w:rsidRDefault="00E2067C">
      <w:pPr>
        <w:autoSpaceDE w:val="0"/>
        <w:autoSpaceDN w:val="0"/>
        <w:adjustRightInd w:val="0"/>
        <w:spacing w:before="100" w:beforeAutospacing="1" w:after="100" w:afterAutospacing="1" w:line="580" w:lineRule="exact"/>
        <w:ind w:firstLine="600"/>
        <w:divId w:val="1816415741"/>
        <w:rPr>
          <w:rFonts w:ascii="仿宋_GB2312" w:eastAsia="仿宋_GB2312" w:hAnsi="Times New Roman" w:cs="仿宋_GB2312"/>
          <w:sz w:val="32"/>
          <w:szCs w:val="32"/>
        </w:rPr>
      </w:pPr>
      <w:r>
        <w:rPr>
          <w:rFonts w:ascii="仿宋_GB2312" w:eastAsia="仿宋_GB2312" w:hAnsi="Times New Roman" w:cs="仿宋_GB2312" w:hint="eastAsia"/>
          <w:sz w:val="32"/>
          <w:szCs w:val="32"/>
        </w:rPr>
        <w:t>2019年预算收入3260.36万元，决算5543.1万元。2019年初预算财政拨款收入434.49元，2019年决算财政拨款收入2284.43万元，由于2019年预算财政拨款收入中仅包括财政拨款基本支出，未包含财政项目支出，其中，包含国药融资租赁租金892万元，科研教学楼装修改造资金500万</w:t>
      </w:r>
      <w:r>
        <w:rPr>
          <w:rFonts w:ascii="仿宋_GB2312" w:eastAsia="仿宋_GB2312" w:hAnsi="Times New Roman" w:cs="仿宋_GB2312" w:hint="eastAsia"/>
          <w:sz w:val="32"/>
          <w:szCs w:val="32"/>
        </w:rPr>
        <w:lastRenderedPageBreak/>
        <w:t>元。2019年由于我院门诊人次增加医疗收入超年初预算收入。</w:t>
      </w:r>
    </w:p>
    <w:p w14:paraId="5D8F3ACD"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二、关于2019年度决算情况说明</w:t>
      </w:r>
    </w:p>
    <w:p w14:paraId="5ACFC31B"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楷体" w:hAnsi="Times New Roman" w:cs="Times New Roman"/>
          <w:sz w:val="32"/>
          <w:szCs w:val="32"/>
        </w:rPr>
      </w:pPr>
      <w:r>
        <w:rPr>
          <w:rFonts w:ascii="楷体" w:eastAsia="楷体" w:hAnsi="Times New Roman" w:cs="楷体" w:hint="eastAsia"/>
          <w:sz w:val="32"/>
          <w:szCs w:val="32"/>
        </w:rPr>
        <w:t>（一）关于收支情况总体说明</w:t>
      </w:r>
    </w:p>
    <w:p w14:paraId="6F7CCD94" w14:textId="2FB46CA5"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hint="eastAsia"/>
          <w:sz w:val="32"/>
          <w:szCs w:val="32"/>
        </w:rPr>
      </w:pPr>
      <w:r>
        <w:rPr>
          <w:rFonts w:ascii="仿宋_GB2312" w:eastAsia="仿宋_GB2312" w:hAnsi="Times New Roman" w:cs="仿宋_GB2312" w:hint="eastAsia"/>
          <w:sz w:val="32"/>
          <w:szCs w:val="32"/>
        </w:rPr>
        <w:t>本部门2019年度收入总计</w:t>
      </w:r>
      <w:r>
        <w:rPr>
          <w:rFonts w:ascii="仿宋_GB2312" w:eastAsia="仿宋_GB2312" w:hAnsi="Times New Roman" w:cs="仿宋_GB2312" w:hint="eastAsia"/>
          <w:color w:val="FF0000"/>
          <w:sz w:val="32"/>
          <w:szCs w:val="32"/>
        </w:rPr>
        <w:t>6,043.10</w:t>
      </w:r>
      <w:r>
        <w:rPr>
          <w:rFonts w:ascii="仿宋_GB2312" w:eastAsia="仿宋_GB2312" w:hAnsi="Times New Roman" w:cs="仿宋_GB2312" w:hint="eastAsia"/>
          <w:sz w:val="32"/>
          <w:szCs w:val="32"/>
        </w:rPr>
        <w:t>万元，其中：本年收入合计</w:t>
      </w:r>
      <w:r>
        <w:rPr>
          <w:rFonts w:ascii="仿宋_GB2312" w:eastAsia="仿宋_GB2312" w:hAnsi="Times New Roman" w:cs="仿宋_GB2312" w:hint="eastAsia"/>
          <w:color w:val="FF0000"/>
          <w:sz w:val="32"/>
          <w:szCs w:val="32"/>
        </w:rPr>
        <w:t>5,543.10</w:t>
      </w:r>
      <w:r>
        <w:rPr>
          <w:rFonts w:ascii="仿宋_GB2312" w:eastAsia="仿宋_GB2312" w:hAnsi="Times New Roman" w:cs="仿宋_GB2312" w:hint="eastAsia"/>
          <w:sz w:val="32"/>
          <w:szCs w:val="32"/>
        </w:rPr>
        <w:t>万元，用事业基金弥补收支差额</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万元，年初结转和结余</w:t>
      </w:r>
      <w:r>
        <w:rPr>
          <w:rFonts w:ascii="仿宋_GB2312" w:eastAsia="仿宋_GB2312" w:hAnsi="Times New Roman" w:cs="仿宋_GB2312" w:hint="eastAsia"/>
          <w:color w:val="FF0000"/>
          <w:sz w:val="32"/>
          <w:szCs w:val="32"/>
        </w:rPr>
        <w:t>500.00</w:t>
      </w:r>
      <w:r>
        <w:rPr>
          <w:rFonts w:ascii="仿宋_GB2312" w:eastAsia="仿宋_GB2312" w:hAnsi="Times New Roman" w:cs="仿宋_GB2312" w:hint="eastAsia"/>
          <w:sz w:val="32"/>
          <w:szCs w:val="32"/>
        </w:rPr>
        <w:t>万元；支出总计</w:t>
      </w:r>
      <w:r>
        <w:rPr>
          <w:rFonts w:ascii="仿宋_GB2312" w:eastAsia="仿宋_GB2312" w:hAnsi="Times New Roman" w:cs="仿宋_GB2312" w:hint="eastAsia"/>
          <w:color w:val="FF0000"/>
          <w:sz w:val="32"/>
          <w:szCs w:val="32"/>
        </w:rPr>
        <w:t>6,043.10</w:t>
      </w:r>
      <w:r>
        <w:rPr>
          <w:rFonts w:ascii="仿宋_GB2312" w:eastAsia="仿宋_GB2312" w:hAnsi="Times New Roman" w:cs="仿宋_GB2312" w:hint="eastAsia"/>
          <w:sz w:val="32"/>
          <w:szCs w:val="32"/>
        </w:rPr>
        <w:t>万元，其中：结余分配</w:t>
      </w:r>
      <w:r>
        <w:rPr>
          <w:rFonts w:ascii="仿宋_GB2312" w:eastAsia="仿宋_GB2312" w:hAnsi="Times New Roman" w:cs="仿宋_GB2312" w:hint="eastAsia"/>
          <w:color w:val="FF0000"/>
          <w:sz w:val="32"/>
          <w:szCs w:val="32"/>
        </w:rPr>
        <w:t>139.72</w:t>
      </w:r>
      <w:r>
        <w:rPr>
          <w:rFonts w:ascii="仿宋_GB2312" w:eastAsia="仿宋_GB2312" w:hAnsi="Times New Roman" w:cs="仿宋_GB2312" w:hint="eastAsia"/>
          <w:sz w:val="32"/>
          <w:szCs w:val="32"/>
        </w:rPr>
        <w:t>万元，年末结转和结余</w:t>
      </w:r>
      <w:r>
        <w:rPr>
          <w:rFonts w:ascii="仿宋_GB2312" w:eastAsia="仿宋_GB2312" w:hAnsi="Times New Roman" w:cs="仿宋_GB2312" w:hint="eastAsia"/>
          <w:color w:val="FF0000"/>
          <w:sz w:val="32"/>
          <w:szCs w:val="32"/>
        </w:rPr>
        <w:t>703.50</w:t>
      </w:r>
      <w:r>
        <w:rPr>
          <w:rFonts w:ascii="仿宋_GB2312" w:eastAsia="仿宋_GB2312" w:hAnsi="Times New Roman" w:cs="仿宋_GB2312" w:hint="eastAsia"/>
          <w:sz w:val="32"/>
          <w:szCs w:val="32"/>
        </w:rPr>
        <w:t>万元。与2018年度相比，收入总计</w:t>
      </w:r>
      <w:r>
        <w:rPr>
          <w:rFonts w:ascii="仿宋_GB2312" w:eastAsia="仿宋_GB2312" w:hAnsi="Times New Roman" w:cs="仿宋_GB2312" w:hint="eastAsia"/>
          <w:color w:val="FF0000"/>
          <w:sz w:val="32"/>
          <w:szCs w:val="32"/>
        </w:rPr>
        <w:t>增加1,225.65</w:t>
      </w:r>
      <w:r>
        <w:rPr>
          <w:rFonts w:ascii="仿宋_GB2312" w:eastAsia="仿宋_GB2312" w:hAnsi="Times New Roman" w:cs="仿宋_GB2312" w:hint="eastAsia"/>
          <w:sz w:val="32"/>
          <w:szCs w:val="32"/>
        </w:rPr>
        <w:t>万元，</w:t>
      </w:r>
      <w:r>
        <w:rPr>
          <w:rFonts w:ascii="仿宋_GB2312" w:eastAsia="仿宋_GB2312" w:hAnsi="Times New Roman" w:cs="仿宋_GB2312" w:hint="eastAsia"/>
          <w:color w:val="FF0000"/>
          <w:sz w:val="32"/>
          <w:szCs w:val="32"/>
        </w:rPr>
        <w:t>增长25.40</w:t>
      </w:r>
      <w:r>
        <w:rPr>
          <w:rFonts w:ascii="仿宋_GB2312" w:eastAsia="仿宋_GB2312" w:hAnsi="Times New Roman" w:cs="仿宋_GB2312" w:hint="eastAsia"/>
          <w:sz w:val="32"/>
          <w:szCs w:val="32"/>
        </w:rPr>
        <w:t>%；支出总计</w:t>
      </w:r>
      <w:r>
        <w:rPr>
          <w:rFonts w:ascii="仿宋_GB2312" w:eastAsia="仿宋_GB2312" w:hAnsi="Times New Roman" w:cs="仿宋_GB2312" w:hint="eastAsia"/>
          <w:color w:val="FF0000"/>
          <w:sz w:val="32"/>
          <w:szCs w:val="32"/>
        </w:rPr>
        <w:t>增加1,225.65</w:t>
      </w:r>
      <w:r>
        <w:rPr>
          <w:rFonts w:ascii="仿宋_GB2312" w:eastAsia="仿宋_GB2312" w:hAnsi="Times New Roman" w:cs="仿宋_GB2312" w:hint="eastAsia"/>
          <w:sz w:val="32"/>
          <w:szCs w:val="32"/>
        </w:rPr>
        <w:t>万元，</w:t>
      </w:r>
      <w:r>
        <w:rPr>
          <w:rFonts w:ascii="仿宋_GB2312" w:eastAsia="仿宋_GB2312" w:hAnsi="Times New Roman" w:cs="仿宋_GB2312" w:hint="eastAsia"/>
          <w:color w:val="FF0000"/>
          <w:sz w:val="32"/>
          <w:szCs w:val="32"/>
        </w:rPr>
        <w:t>增长25.40</w:t>
      </w:r>
      <w:r>
        <w:rPr>
          <w:rFonts w:ascii="仿宋_GB2312" w:eastAsia="仿宋_GB2312" w:hAnsi="Times New Roman" w:cs="仿宋_GB2312" w:hint="eastAsia"/>
          <w:sz w:val="32"/>
          <w:szCs w:val="32"/>
        </w:rPr>
        <w:t>%。主要原因：一是上年结转到本年500万元信息化建设费</w:t>
      </w:r>
      <w:r w:rsidR="00E64DF7">
        <w:rPr>
          <w:rFonts w:ascii="仿宋_GB2312" w:eastAsia="仿宋_GB2312" w:hAnsi="Times New Roman" w:cs="仿宋_GB2312" w:hint="eastAsia"/>
          <w:sz w:val="32"/>
          <w:szCs w:val="32"/>
        </w:rPr>
        <w:t>全部</w:t>
      </w:r>
      <w:r w:rsidR="00E64DF7">
        <w:rPr>
          <w:rFonts w:ascii="仿宋_GB2312" w:eastAsia="仿宋_GB2312" w:hAnsi="Times New Roman" w:cs="仿宋_GB2312"/>
          <w:sz w:val="32"/>
          <w:szCs w:val="32"/>
        </w:rPr>
        <w:t>支出</w:t>
      </w:r>
      <w:r>
        <w:rPr>
          <w:rFonts w:ascii="仿宋_GB2312" w:eastAsia="仿宋_GB2312" w:hAnsi="Times New Roman" w:cs="仿宋_GB2312" w:hint="eastAsia"/>
          <w:sz w:val="32"/>
          <w:szCs w:val="32"/>
        </w:rPr>
        <w:t>；二是由于医院门诊人次增加，医疗收入比去年增长15.8%</w:t>
      </w:r>
      <w:r w:rsidR="0083344E">
        <w:rPr>
          <w:rFonts w:ascii="仿宋_GB2312" w:eastAsia="仿宋_GB2312" w:hAnsi="Times New Roman" w:cs="仿宋_GB2312" w:hint="eastAsia"/>
          <w:sz w:val="32"/>
          <w:szCs w:val="32"/>
        </w:rPr>
        <w:t>；</w:t>
      </w:r>
      <w:r w:rsidR="0083344E">
        <w:rPr>
          <w:rFonts w:ascii="仿宋_GB2312" w:eastAsia="仿宋_GB2312" w:hAnsi="Times New Roman" w:cs="仿宋_GB2312"/>
          <w:sz w:val="32"/>
          <w:szCs w:val="32"/>
        </w:rPr>
        <w:t>三是2019</w:t>
      </w:r>
      <w:r w:rsidR="0083344E">
        <w:rPr>
          <w:rFonts w:ascii="仿宋_GB2312" w:eastAsia="仿宋_GB2312" w:hAnsi="Times New Roman" w:cs="仿宋_GB2312" w:hint="eastAsia"/>
          <w:sz w:val="32"/>
          <w:szCs w:val="32"/>
        </w:rPr>
        <w:t>年拨付</w:t>
      </w:r>
      <w:r w:rsidR="0083344E">
        <w:rPr>
          <w:rFonts w:ascii="仿宋_GB2312" w:eastAsia="仿宋_GB2312" w:hAnsi="Times New Roman" w:cs="仿宋_GB2312"/>
          <w:sz w:val="32"/>
          <w:szCs w:val="32"/>
        </w:rPr>
        <w:t>科研教学楼装修改造</w:t>
      </w:r>
      <w:r w:rsidR="0083344E">
        <w:rPr>
          <w:rFonts w:ascii="仿宋_GB2312" w:eastAsia="仿宋_GB2312" w:hAnsi="Times New Roman" w:cs="仿宋_GB2312" w:hint="eastAsia"/>
          <w:sz w:val="32"/>
          <w:szCs w:val="32"/>
        </w:rPr>
        <w:t>项目</w:t>
      </w:r>
      <w:r w:rsidR="0083344E">
        <w:rPr>
          <w:rFonts w:ascii="仿宋_GB2312" w:eastAsia="仿宋_GB2312" w:hAnsi="Times New Roman" w:cs="仿宋_GB2312"/>
          <w:sz w:val="32"/>
          <w:szCs w:val="32"/>
        </w:rPr>
        <w:t>资金</w:t>
      </w:r>
      <w:r w:rsidR="0083344E">
        <w:rPr>
          <w:rFonts w:ascii="仿宋_GB2312" w:eastAsia="仿宋_GB2312" w:hAnsi="Times New Roman" w:cs="仿宋_GB2312" w:hint="eastAsia"/>
          <w:sz w:val="32"/>
          <w:szCs w:val="32"/>
        </w:rPr>
        <w:t>500万元</w:t>
      </w:r>
      <w:r w:rsidR="0083344E">
        <w:rPr>
          <w:rFonts w:ascii="仿宋_GB2312" w:eastAsia="仿宋_GB2312" w:hAnsi="Times New Roman" w:cs="仿宋_GB2312"/>
          <w:sz w:val="32"/>
          <w:szCs w:val="32"/>
        </w:rPr>
        <w:t>及</w:t>
      </w:r>
      <w:r w:rsidR="0083344E">
        <w:rPr>
          <w:rFonts w:ascii="仿宋_GB2312" w:eastAsia="仿宋_GB2312" w:hAnsi="Times New Roman" w:cs="仿宋_GB2312" w:hint="eastAsia"/>
          <w:sz w:val="32"/>
          <w:szCs w:val="32"/>
        </w:rPr>
        <w:t>医疗</w:t>
      </w:r>
      <w:r w:rsidR="0083344E">
        <w:rPr>
          <w:rFonts w:ascii="仿宋_GB2312" w:eastAsia="仿宋_GB2312" w:hAnsi="Times New Roman" w:cs="仿宋_GB2312"/>
          <w:sz w:val="32"/>
          <w:szCs w:val="32"/>
        </w:rPr>
        <w:t>服务能力提升资金</w:t>
      </w:r>
      <w:r w:rsidR="0083344E">
        <w:rPr>
          <w:rFonts w:ascii="仿宋_GB2312" w:eastAsia="仿宋_GB2312" w:hAnsi="Times New Roman" w:cs="仿宋_GB2312" w:hint="eastAsia"/>
          <w:sz w:val="32"/>
          <w:szCs w:val="32"/>
        </w:rPr>
        <w:t>200万元</w:t>
      </w:r>
      <w:r w:rsidR="0083344E">
        <w:rPr>
          <w:rFonts w:ascii="仿宋_GB2312" w:eastAsia="仿宋_GB2312" w:hAnsi="Times New Roman" w:cs="仿宋_GB2312"/>
          <w:sz w:val="32"/>
          <w:szCs w:val="32"/>
        </w:rPr>
        <w:t>。</w:t>
      </w:r>
    </w:p>
    <w:p w14:paraId="21E7A0C0"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楷体" w:hAnsi="Times New Roman" w:cs="Times New Roman"/>
          <w:sz w:val="32"/>
          <w:szCs w:val="32"/>
        </w:rPr>
      </w:pPr>
      <w:r>
        <w:rPr>
          <w:rFonts w:ascii="楷体" w:eastAsia="楷体" w:hAnsi="Times New Roman" w:cs="楷体" w:hint="eastAsia"/>
          <w:sz w:val="32"/>
          <w:szCs w:val="32"/>
        </w:rPr>
        <w:t>（二）关于2019年度收入决算情况说明</w:t>
      </w:r>
    </w:p>
    <w:p w14:paraId="4E0EB480"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本部门2019年度收入合计</w:t>
      </w:r>
      <w:r>
        <w:rPr>
          <w:rFonts w:ascii="仿宋_GB2312" w:eastAsia="仿宋_GB2312" w:hAnsi="Times New Roman" w:cs="仿宋_GB2312" w:hint="eastAsia"/>
          <w:color w:val="FF0000"/>
          <w:sz w:val="32"/>
          <w:szCs w:val="32"/>
        </w:rPr>
        <w:t>5,543.10</w:t>
      </w:r>
      <w:r>
        <w:rPr>
          <w:rFonts w:ascii="仿宋_GB2312" w:eastAsia="仿宋_GB2312" w:hAnsi="Times New Roman" w:cs="仿宋_GB2312" w:hint="eastAsia"/>
          <w:sz w:val="32"/>
          <w:szCs w:val="32"/>
        </w:rPr>
        <w:t>万元，其中：财政拨款收入</w:t>
      </w:r>
      <w:r>
        <w:rPr>
          <w:rFonts w:ascii="仿宋_GB2312" w:eastAsia="仿宋_GB2312" w:hAnsi="Times New Roman" w:cs="仿宋_GB2312" w:hint="eastAsia"/>
          <w:color w:val="FF0000"/>
          <w:sz w:val="32"/>
          <w:szCs w:val="32"/>
        </w:rPr>
        <w:t>2,284.43</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41.20</w:t>
      </w:r>
      <w:r>
        <w:rPr>
          <w:rFonts w:ascii="仿宋_GB2312" w:eastAsia="仿宋_GB2312" w:hAnsi="Times New Roman" w:cs="仿宋_GB2312" w:hint="eastAsia"/>
          <w:sz w:val="32"/>
          <w:szCs w:val="32"/>
        </w:rPr>
        <w:t>%；事业收入</w:t>
      </w:r>
      <w:r>
        <w:rPr>
          <w:rFonts w:ascii="仿宋_GB2312" w:eastAsia="仿宋_GB2312" w:hAnsi="Times New Roman" w:cs="仿宋_GB2312" w:hint="eastAsia"/>
          <w:color w:val="FF0000"/>
          <w:sz w:val="32"/>
          <w:szCs w:val="32"/>
        </w:rPr>
        <w:t>3,246.28</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58.60</w:t>
      </w:r>
      <w:r>
        <w:rPr>
          <w:rFonts w:ascii="仿宋_GB2312" w:eastAsia="仿宋_GB2312" w:hAnsi="Times New Roman" w:cs="仿宋_GB2312" w:hint="eastAsia"/>
          <w:sz w:val="32"/>
          <w:szCs w:val="32"/>
        </w:rPr>
        <w:t>%；其他收入</w:t>
      </w:r>
      <w:r>
        <w:rPr>
          <w:rFonts w:ascii="仿宋_GB2312" w:eastAsia="仿宋_GB2312" w:hAnsi="Times New Roman" w:cs="仿宋_GB2312" w:hint="eastAsia"/>
          <w:color w:val="FF0000"/>
          <w:sz w:val="32"/>
          <w:szCs w:val="32"/>
        </w:rPr>
        <w:t>12.39</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0.20</w:t>
      </w:r>
      <w:r>
        <w:rPr>
          <w:rFonts w:ascii="仿宋_GB2312" w:eastAsia="仿宋_GB2312" w:hAnsi="Times New Roman" w:cs="仿宋_GB2312" w:hint="eastAsia"/>
          <w:sz w:val="32"/>
          <w:szCs w:val="32"/>
        </w:rPr>
        <w:t>%。</w:t>
      </w:r>
    </w:p>
    <w:p w14:paraId="252F68AB"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楷体" w:hAnsi="Times New Roman" w:cs="Times New Roman"/>
          <w:sz w:val="32"/>
          <w:szCs w:val="32"/>
        </w:rPr>
      </w:pPr>
      <w:r>
        <w:rPr>
          <w:rFonts w:ascii="楷体" w:eastAsia="楷体" w:hAnsi="Times New Roman" w:cs="楷体" w:hint="eastAsia"/>
          <w:sz w:val="32"/>
          <w:szCs w:val="32"/>
        </w:rPr>
        <w:t>（三）关于2019年度支出决算情况说明</w:t>
      </w:r>
    </w:p>
    <w:p w14:paraId="26CF3D9E"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本部门2019年度支出合计</w:t>
      </w:r>
      <w:r>
        <w:rPr>
          <w:rFonts w:ascii="仿宋_GB2312" w:eastAsia="仿宋_GB2312" w:hAnsi="Times New Roman" w:cs="仿宋_GB2312" w:hint="eastAsia"/>
          <w:color w:val="FF0000"/>
          <w:sz w:val="32"/>
          <w:szCs w:val="32"/>
        </w:rPr>
        <w:t>5,199.87</w:t>
      </w:r>
      <w:r>
        <w:rPr>
          <w:rFonts w:ascii="仿宋_GB2312" w:eastAsia="仿宋_GB2312" w:hAnsi="Times New Roman" w:cs="仿宋_GB2312" w:hint="eastAsia"/>
          <w:sz w:val="32"/>
          <w:szCs w:val="32"/>
        </w:rPr>
        <w:t>万元，其中：基本支出</w:t>
      </w:r>
      <w:r>
        <w:rPr>
          <w:rFonts w:ascii="仿宋_GB2312" w:eastAsia="仿宋_GB2312" w:hAnsi="Times New Roman" w:cs="仿宋_GB2312" w:hint="eastAsia"/>
          <w:color w:val="FF0000"/>
          <w:sz w:val="32"/>
          <w:szCs w:val="32"/>
        </w:rPr>
        <w:t>4,275.97</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82.20</w:t>
      </w:r>
      <w:r>
        <w:rPr>
          <w:rFonts w:ascii="仿宋_GB2312" w:eastAsia="仿宋_GB2312" w:hAnsi="Times New Roman" w:cs="仿宋_GB2312" w:hint="eastAsia"/>
          <w:sz w:val="32"/>
          <w:szCs w:val="32"/>
        </w:rPr>
        <w:t>%；项目支出</w:t>
      </w:r>
      <w:r>
        <w:rPr>
          <w:rFonts w:ascii="仿宋_GB2312" w:eastAsia="仿宋_GB2312" w:hAnsi="Times New Roman" w:cs="仿宋_GB2312" w:hint="eastAsia"/>
          <w:color w:val="FF0000"/>
          <w:sz w:val="32"/>
          <w:szCs w:val="32"/>
        </w:rPr>
        <w:t>923.91</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17.80</w:t>
      </w:r>
      <w:r>
        <w:rPr>
          <w:rFonts w:ascii="仿宋_GB2312" w:eastAsia="仿宋_GB2312" w:hAnsi="Times New Roman" w:cs="仿宋_GB2312" w:hint="eastAsia"/>
          <w:sz w:val="32"/>
          <w:szCs w:val="32"/>
        </w:rPr>
        <w:t>%.</w:t>
      </w:r>
    </w:p>
    <w:p w14:paraId="777B9389"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楷体" w:hAnsi="Times New Roman" w:cs="Times New Roman"/>
          <w:sz w:val="32"/>
          <w:szCs w:val="32"/>
        </w:rPr>
      </w:pPr>
      <w:r>
        <w:rPr>
          <w:rFonts w:ascii="楷体" w:eastAsia="楷体" w:hAnsi="Times New Roman" w:cs="楷体" w:hint="eastAsia"/>
          <w:sz w:val="32"/>
          <w:szCs w:val="32"/>
        </w:rPr>
        <w:t>（四）关于2019年度财政拨款收入支出决算总体情况说明</w:t>
      </w:r>
    </w:p>
    <w:p w14:paraId="5AD7F75D"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本部门2019年度财政拨款收入总计</w:t>
      </w:r>
      <w:r>
        <w:rPr>
          <w:rFonts w:ascii="仿宋_GB2312" w:eastAsia="仿宋_GB2312" w:hAnsi="Times New Roman" w:cs="仿宋_GB2312" w:hint="eastAsia"/>
          <w:color w:val="FF0000"/>
          <w:sz w:val="32"/>
          <w:szCs w:val="32"/>
        </w:rPr>
        <w:t>2,784.43</w:t>
      </w:r>
      <w:r>
        <w:rPr>
          <w:rFonts w:ascii="仿宋_GB2312" w:eastAsia="仿宋_GB2312" w:hAnsi="Times New Roman" w:cs="仿宋_GB2312" w:hint="eastAsia"/>
          <w:sz w:val="32"/>
          <w:szCs w:val="32"/>
        </w:rPr>
        <w:t>万元，其中：年初结转和结余</w:t>
      </w:r>
      <w:r>
        <w:rPr>
          <w:rFonts w:ascii="仿宋_GB2312" w:eastAsia="仿宋_GB2312" w:hAnsi="Times New Roman" w:cs="仿宋_GB2312" w:hint="eastAsia"/>
          <w:color w:val="FF0000"/>
          <w:sz w:val="32"/>
          <w:szCs w:val="32"/>
        </w:rPr>
        <w:t>500.00</w:t>
      </w:r>
      <w:r>
        <w:rPr>
          <w:rFonts w:ascii="仿宋_GB2312" w:eastAsia="仿宋_GB2312" w:hAnsi="Times New Roman" w:cs="仿宋_GB2312" w:hint="eastAsia"/>
          <w:sz w:val="32"/>
          <w:szCs w:val="32"/>
        </w:rPr>
        <w:t>万元；支出总计</w:t>
      </w:r>
      <w:r>
        <w:rPr>
          <w:rFonts w:ascii="仿宋_GB2312" w:eastAsia="仿宋_GB2312" w:hAnsi="Times New Roman" w:cs="仿宋_GB2312" w:hint="eastAsia"/>
          <w:color w:val="FF0000"/>
          <w:sz w:val="32"/>
          <w:szCs w:val="32"/>
        </w:rPr>
        <w:t>2,784.43</w:t>
      </w:r>
      <w:r>
        <w:rPr>
          <w:rFonts w:ascii="仿宋_GB2312" w:eastAsia="仿宋_GB2312" w:hAnsi="Times New Roman" w:cs="仿宋_GB2312" w:hint="eastAsia"/>
          <w:sz w:val="32"/>
          <w:szCs w:val="32"/>
        </w:rPr>
        <w:t>万元，其中：年末结转和结余</w:t>
      </w:r>
      <w:r>
        <w:rPr>
          <w:rFonts w:ascii="仿宋_GB2312" w:eastAsia="仿宋_GB2312" w:hAnsi="Times New Roman" w:cs="仿宋_GB2312" w:hint="eastAsia"/>
          <w:color w:val="FF0000"/>
          <w:sz w:val="32"/>
          <w:szCs w:val="32"/>
        </w:rPr>
        <w:t>703.50</w:t>
      </w:r>
      <w:r>
        <w:rPr>
          <w:rFonts w:ascii="仿宋_GB2312" w:eastAsia="仿宋_GB2312" w:hAnsi="Times New Roman" w:cs="仿宋_GB2312" w:hint="eastAsia"/>
          <w:sz w:val="32"/>
          <w:szCs w:val="32"/>
        </w:rPr>
        <w:t>万元。与2018年度相比，收入</w:t>
      </w:r>
      <w:r>
        <w:rPr>
          <w:rFonts w:ascii="仿宋_GB2312" w:eastAsia="仿宋_GB2312" w:hAnsi="Times New Roman" w:cs="仿宋_GB2312" w:hint="eastAsia"/>
          <w:color w:val="FF0000"/>
          <w:sz w:val="32"/>
          <w:szCs w:val="32"/>
        </w:rPr>
        <w:t>增加712.04</w:t>
      </w:r>
      <w:r>
        <w:rPr>
          <w:rFonts w:ascii="仿宋_GB2312" w:eastAsia="仿宋_GB2312" w:hAnsi="Times New Roman" w:cs="仿宋_GB2312" w:hint="eastAsia"/>
          <w:sz w:val="32"/>
          <w:szCs w:val="32"/>
        </w:rPr>
        <w:t>万元，</w:t>
      </w:r>
      <w:r>
        <w:rPr>
          <w:rFonts w:ascii="仿宋_GB2312" w:eastAsia="仿宋_GB2312" w:hAnsi="Times New Roman" w:cs="仿宋_GB2312" w:hint="eastAsia"/>
          <w:color w:val="FF0000"/>
          <w:sz w:val="32"/>
          <w:szCs w:val="32"/>
        </w:rPr>
        <w:t>增长34.40</w:t>
      </w:r>
      <w:r>
        <w:rPr>
          <w:rFonts w:ascii="仿宋_GB2312" w:eastAsia="仿宋_GB2312" w:hAnsi="Times New Roman" w:cs="仿宋_GB2312" w:hint="eastAsia"/>
          <w:sz w:val="32"/>
          <w:szCs w:val="32"/>
        </w:rPr>
        <w:t>%；支出</w:t>
      </w:r>
      <w:r>
        <w:rPr>
          <w:rFonts w:ascii="仿宋_GB2312" w:eastAsia="仿宋_GB2312" w:hAnsi="Times New Roman" w:cs="仿宋_GB2312" w:hint="eastAsia"/>
          <w:color w:val="FF0000"/>
          <w:sz w:val="32"/>
          <w:szCs w:val="32"/>
        </w:rPr>
        <w:t>增加712.04</w:t>
      </w:r>
      <w:r>
        <w:rPr>
          <w:rFonts w:ascii="仿宋_GB2312" w:eastAsia="仿宋_GB2312" w:hAnsi="Times New Roman" w:cs="仿宋_GB2312" w:hint="eastAsia"/>
          <w:sz w:val="32"/>
          <w:szCs w:val="32"/>
        </w:rPr>
        <w:t>万元，</w:t>
      </w:r>
      <w:r>
        <w:rPr>
          <w:rFonts w:ascii="仿宋_GB2312" w:eastAsia="仿宋_GB2312" w:hAnsi="Times New Roman" w:cs="仿宋_GB2312" w:hint="eastAsia"/>
          <w:color w:val="FF0000"/>
          <w:sz w:val="32"/>
          <w:szCs w:val="32"/>
        </w:rPr>
        <w:t>增长34.40</w:t>
      </w:r>
      <w:r>
        <w:rPr>
          <w:rFonts w:ascii="仿宋_GB2312" w:eastAsia="仿宋_GB2312" w:hAnsi="Times New Roman" w:cs="仿宋_GB2312" w:hint="eastAsia"/>
          <w:sz w:val="32"/>
          <w:szCs w:val="32"/>
        </w:rPr>
        <w:t>%。主要原因：一是2019年增加了人员经费定补数；二是年末追加了科研教学楼装修改造经费；三是追加了职工职业年金。</w:t>
      </w:r>
    </w:p>
    <w:p w14:paraId="2A3989B9"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楷体" w:hAnsi="Times New Roman" w:cs="Times New Roman"/>
          <w:sz w:val="32"/>
          <w:szCs w:val="32"/>
        </w:rPr>
      </w:pPr>
      <w:r>
        <w:rPr>
          <w:rFonts w:ascii="楷体" w:eastAsia="楷体" w:hAnsi="Times New Roman" w:cs="楷体" w:hint="eastAsia"/>
          <w:sz w:val="32"/>
          <w:szCs w:val="32"/>
        </w:rPr>
        <w:t>（五）关于2019年度一般公共预算财政拨款支出决算情况说明</w:t>
      </w:r>
    </w:p>
    <w:p w14:paraId="7C653700"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本部门2019年度一般公共预算财政拨款支出合计</w:t>
      </w:r>
      <w:r>
        <w:rPr>
          <w:rFonts w:ascii="仿宋_GB2312" w:eastAsia="仿宋_GB2312" w:hAnsi="Times New Roman" w:cs="仿宋_GB2312" w:hint="eastAsia"/>
          <w:color w:val="FF0000"/>
          <w:sz w:val="32"/>
          <w:szCs w:val="32"/>
        </w:rPr>
        <w:t>1,857.75</w:t>
      </w:r>
      <w:r>
        <w:rPr>
          <w:rFonts w:ascii="仿宋_GB2312" w:eastAsia="仿宋_GB2312" w:hAnsi="Times New Roman" w:cs="仿宋_GB2312" w:hint="eastAsia"/>
          <w:sz w:val="32"/>
          <w:szCs w:val="32"/>
        </w:rPr>
        <w:t>万元，其中：基本支出</w:t>
      </w:r>
      <w:r>
        <w:rPr>
          <w:rFonts w:ascii="仿宋_GB2312" w:eastAsia="仿宋_GB2312" w:hAnsi="Times New Roman" w:cs="仿宋_GB2312" w:hint="eastAsia"/>
          <w:color w:val="FF0000"/>
          <w:sz w:val="32"/>
          <w:szCs w:val="32"/>
        </w:rPr>
        <w:t>1,157.02</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62.30</w:t>
      </w:r>
      <w:r>
        <w:rPr>
          <w:rFonts w:ascii="仿宋_GB2312" w:eastAsia="仿宋_GB2312" w:hAnsi="Times New Roman" w:cs="仿宋_GB2312" w:hint="eastAsia"/>
          <w:sz w:val="32"/>
          <w:szCs w:val="32"/>
        </w:rPr>
        <w:t>%；项目支出</w:t>
      </w:r>
      <w:r>
        <w:rPr>
          <w:rFonts w:ascii="仿宋_GB2312" w:eastAsia="仿宋_GB2312" w:hAnsi="Times New Roman" w:cs="仿宋_GB2312" w:hint="eastAsia"/>
          <w:color w:val="FF0000"/>
          <w:sz w:val="32"/>
          <w:szCs w:val="32"/>
        </w:rPr>
        <w:t>700.73</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37.70</w:t>
      </w:r>
      <w:r>
        <w:rPr>
          <w:rFonts w:ascii="仿宋_GB2312" w:eastAsia="仿宋_GB2312" w:hAnsi="Times New Roman" w:cs="仿宋_GB2312" w:hint="eastAsia"/>
          <w:sz w:val="32"/>
          <w:szCs w:val="32"/>
        </w:rPr>
        <w:t>%。</w:t>
      </w:r>
    </w:p>
    <w:p w14:paraId="51FBEF10"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楷体" w:hAnsi="Times New Roman" w:cs="Times New Roman"/>
          <w:sz w:val="32"/>
          <w:szCs w:val="32"/>
        </w:rPr>
      </w:pPr>
      <w:r>
        <w:rPr>
          <w:rFonts w:ascii="楷体" w:eastAsia="楷体" w:hAnsi="Times New Roman" w:cs="楷体" w:hint="eastAsia"/>
          <w:sz w:val="32"/>
          <w:szCs w:val="32"/>
        </w:rPr>
        <w:t>（六）关于2019年度一般公共预算财政拨款基本支出决算情况说明</w:t>
      </w:r>
    </w:p>
    <w:p w14:paraId="490F2097"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本部门2019年度一般公共预算财政拨款基本支出</w:t>
      </w:r>
      <w:r>
        <w:rPr>
          <w:rFonts w:ascii="仿宋_GB2312" w:eastAsia="仿宋_GB2312" w:hAnsi="Times New Roman" w:cs="仿宋_GB2312" w:hint="eastAsia"/>
          <w:color w:val="FF0000"/>
          <w:sz w:val="32"/>
          <w:szCs w:val="32"/>
        </w:rPr>
        <w:t>1,157.02</w:t>
      </w:r>
      <w:r>
        <w:rPr>
          <w:rFonts w:ascii="仿宋_GB2312" w:eastAsia="仿宋_GB2312" w:hAnsi="Times New Roman" w:cs="仿宋_GB2312" w:hint="eastAsia"/>
          <w:sz w:val="32"/>
          <w:szCs w:val="32"/>
        </w:rPr>
        <w:t>万元，其中：人员经费</w:t>
      </w:r>
      <w:r>
        <w:rPr>
          <w:rFonts w:ascii="仿宋_GB2312" w:eastAsia="仿宋_GB2312" w:hAnsi="Times New Roman" w:cs="仿宋_GB2312" w:hint="eastAsia"/>
          <w:color w:val="FF0000"/>
          <w:sz w:val="32"/>
          <w:szCs w:val="32"/>
        </w:rPr>
        <w:t>655.30</w:t>
      </w:r>
      <w:r>
        <w:rPr>
          <w:rFonts w:ascii="仿宋_GB2312" w:eastAsia="仿宋_GB2312" w:hAnsi="Times New Roman" w:cs="仿宋_GB2312" w:hint="eastAsia"/>
          <w:sz w:val="32"/>
          <w:szCs w:val="32"/>
        </w:rPr>
        <w:t>万元，主要包括：</w:t>
      </w:r>
      <w:r>
        <w:rPr>
          <w:rFonts w:ascii="仿宋_GB2312" w:eastAsia="仿宋_GB2312" w:hAnsi="Times New Roman" w:cs="仿宋_GB2312" w:hint="eastAsia"/>
          <w:sz w:val="32"/>
          <w:szCs w:val="32"/>
        </w:rPr>
        <w:lastRenderedPageBreak/>
        <w:t>基本工资455.41万元，职业年金缴费68.61万元，对个人和家庭的补助支出131.28万元，较上年</w:t>
      </w:r>
      <w:r>
        <w:rPr>
          <w:rFonts w:ascii="仿宋_GB2312" w:eastAsia="仿宋_GB2312" w:hAnsi="Times New Roman" w:cs="仿宋_GB2312" w:hint="eastAsia"/>
          <w:color w:val="FF0000"/>
          <w:sz w:val="32"/>
          <w:szCs w:val="32"/>
        </w:rPr>
        <w:t>增加117.10</w:t>
      </w:r>
      <w:r>
        <w:rPr>
          <w:rFonts w:ascii="仿宋_GB2312" w:eastAsia="仿宋_GB2312" w:hAnsi="Times New Roman" w:cs="仿宋_GB2312" w:hint="eastAsia"/>
          <w:sz w:val="32"/>
          <w:szCs w:val="32"/>
        </w:rPr>
        <w:t>万元，主要原因是：一是职业年金拨款增加；二是基本工资拨款增加。公用经费</w:t>
      </w:r>
      <w:r>
        <w:rPr>
          <w:rFonts w:ascii="仿宋_GB2312" w:eastAsia="仿宋_GB2312" w:hAnsi="Times New Roman" w:cs="仿宋_GB2312" w:hint="eastAsia"/>
          <w:color w:val="FF0000"/>
          <w:sz w:val="32"/>
          <w:szCs w:val="32"/>
        </w:rPr>
        <w:t>501.72</w:t>
      </w:r>
      <w:r>
        <w:rPr>
          <w:rFonts w:ascii="仿宋_GB2312" w:eastAsia="仿宋_GB2312" w:hAnsi="Times New Roman" w:cs="仿宋_GB2312" w:hint="eastAsia"/>
          <w:sz w:val="32"/>
          <w:szCs w:val="32"/>
        </w:rPr>
        <w:t>万元，主要包括：取暖费1.72万元，委托业务费500万元；较上年</w:t>
      </w:r>
      <w:r>
        <w:rPr>
          <w:rFonts w:ascii="仿宋_GB2312" w:eastAsia="仿宋_GB2312" w:hAnsi="Times New Roman" w:cs="仿宋_GB2312" w:hint="eastAsia"/>
          <w:color w:val="FF0000"/>
          <w:sz w:val="32"/>
          <w:szCs w:val="32"/>
        </w:rPr>
        <w:t>增加501.72</w:t>
      </w:r>
      <w:r>
        <w:rPr>
          <w:rFonts w:ascii="仿宋_GB2312" w:eastAsia="仿宋_GB2312" w:hAnsi="Times New Roman" w:cs="仿宋_GB2312" w:hint="eastAsia"/>
          <w:sz w:val="32"/>
          <w:szCs w:val="32"/>
        </w:rPr>
        <w:t>万元，主要原因是：上年度未拨公用经费。</w:t>
      </w:r>
    </w:p>
    <w:p w14:paraId="64620A49"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楷体" w:hAnsi="Times New Roman" w:cs="Times New Roman"/>
          <w:sz w:val="32"/>
          <w:szCs w:val="32"/>
        </w:rPr>
      </w:pPr>
      <w:r>
        <w:rPr>
          <w:rFonts w:ascii="楷体" w:eastAsia="楷体" w:hAnsi="Times New Roman" w:cs="楷体" w:hint="eastAsia"/>
          <w:sz w:val="32"/>
          <w:szCs w:val="32"/>
        </w:rPr>
        <w:t>（七）关于2019年度财政拨款</w:t>
      </w:r>
      <w:r>
        <w:rPr>
          <w:rFonts w:ascii="Times New Roman" w:eastAsia="楷体" w:hAnsi="Times New Roman" w:cs="Times New Roman"/>
          <w:sz w:val="32"/>
          <w:szCs w:val="32"/>
        </w:rPr>
        <w:t>“</w:t>
      </w:r>
      <w:r>
        <w:rPr>
          <w:rFonts w:ascii="楷体" w:eastAsia="楷体" w:hAnsi="Times New Roman" w:cs="楷体" w:hint="eastAsia"/>
          <w:sz w:val="32"/>
          <w:szCs w:val="32"/>
        </w:rPr>
        <w:t>三公</w:t>
      </w:r>
      <w:r>
        <w:rPr>
          <w:rFonts w:ascii="Times New Roman" w:eastAsia="楷体" w:hAnsi="Times New Roman" w:cs="Times New Roman"/>
          <w:sz w:val="32"/>
          <w:szCs w:val="32"/>
        </w:rPr>
        <w:t>”</w:t>
      </w:r>
      <w:r>
        <w:rPr>
          <w:rFonts w:ascii="楷体" w:eastAsia="楷体" w:hAnsi="Times New Roman" w:cs="楷体" w:hint="eastAsia"/>
          <w:sz w:val="32"/>
          <w:szCs w:val="32"/>
        </w:rPr>
        <w:t>经费支出决算情况说明</w:t>
      </w:r>
    </w:p>
    <w:p w14:paraId="20316CA9"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1、财政拨款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经费支出决算总体情况说明</w:t>
      </w:r>
    </w:p>
    <w:p w14:paraId="23225694"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经费预算为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万元，支出决算为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万元，完成预算的</w:t>
      </w:r>
      <w:r>
        <w:rPr>
          <w:rFonts w:ascii="仿宋_GB2312" w:eastAsia="仿宋_GB2312" w:hAnsi="Times New Roman" w:cs="仿宋_GB2312" w:hint="eastAsia"/>
          <w:color w:val="FF0000"/>
          <w:sz w:val="32"/>
          <w:szCs w:val="32"/>
        </w:rPr>
        <w:t>100</w:t>
      </w:r>
      <w:r>
        <w:rPr>
          <w:rFonts w:ascii="仿宋_GB2312" w:eastAsia="仿宋_GB2312" w:hAnsi="Times New Roman" w:cs="仿宋_GB2312" w:hint="eastAsia"/>
          <w:sz w:val="32"/>
          <w:szCs w:val="32"/>
        </w:rPr>
        <w:t>%。其中：因公出国（境）费预算为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万元，支出决算为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万元，完成预算的</w:t>
      </w:r>
      <w:r>
        <w:rPr>
          <w:rFonts w:ascii="仿宋_GB2312" w:eastAsia="仿宋_GB2312" w:hAnsi="Times New Roman" w:cs="仿宋_GB2312" w:hint="eastAsia"/>
          <w:color w:val="FF0000"/>
          <w:sz w:val="32"/>
          <w:szCs w:val="32"/>
        </w:rPr>
        <w:t>100</w:t>
      </w:r>
      <w:r>
        <w:rPr>
          <w:rFonts w:ascii="仿宋_GB2312" w:eastAsia="仿宋_GB2312" w:hAnsi="Times New Roman" w:cs="仿宋_GB2312" w:hint="eastAsia"/>
          <w:sz w:val="32"/>
          <w:szCs w:val="32"/>
        </w:rPr>
        <w:t>%；公务用车购置及运行维护费预算为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万元，支出决算为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万元，完成预算的</w:t>
      </w:r>
      <w:r>
        <w:rPr>
          <w:rFonts w:ascii="仿宋_GB2312" w:eastAsia="仿宋_GB2312" w:hAnsi="Times New Roman" w:cs="仿宋_GB2312" w:hint="eastAsia"/>
          <w:color w:val="FF0000"/>
          <w:sz w:val="32"/>
          <w:szCs w:val="32"/>
        </w:rPr>
        <w:t>100</w:t>
      </w:r>
      <w:r>
        <w:rPr>
          <w:rFonts w:ascii="仿宋_GB2312" w:eastAsia="仿宋_GB2312" w:hAnsi="Times New Roman" w:cs="仿宋_GB2312" w:hint="eastAsia"/>
          <w:sz w:val="32"/>
          <w:szCs w:val="32"/>
        </w:rPr>
        <w:t>%；公务接待费预算为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万元，支出决算为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万元，完成预算的</w:t>
      </w:r>
      <w:r>
        <w:rPr>
          <w:rFonts w:ascii="仿宋_GB2312" w:eastAsia="仿宋_GB2312" w:hAnsi="Times New Roman" w:cs="仿宋_GB2312" w:hint="eastAsia"/>
          <w:color w:val="FF0000"/>
          <w:sz w:val="32"/>
          <w:szCs w:val="32"/>
        </w:rPr>
        <w:t>100</w:t>
      </w:r>
      <w:r>
        <w:rPr>
          <w:rFonts w:ascii="仿宋_GB2312" w:eastAsia="仿宋_GB2312" w:hAnsi="Times New Roman" w:cs="仿宋_GB2312" w:hint="eastAsia"/>
          <w:sz w:val="32"/>
          <w:szCs w:val="32"/>
        </w:rPr>
        <w:t>%。</w:t>
      </w:r>
    </w:p>
    <w:p w14:paraId="776034AB"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2、财政拨款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经费支出决算具体情况说明</w:t>
      </w:r>
    </w:p>
    <w:p w14:paraId="40D17A35"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万元，因公出国（境）费支出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%；公务用车购置及运行维护费支出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%；公务接待费支出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%。具体情况如下：</w:t>
      </w:r>
    </w:p>
    <w:p w14:paraId="3F4A2749"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b/>
          <w:bCs/>
          <w:sz w:val="32"/>
          <w:szCs w:val="32"/>
        </w:rPr>
        <w:lastRenderedPageBreak/>
        <w:t>因公出国（境）费支出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万元。全年因公出国（境）团组</w:t>
      </w:r>
      <w:r>
        <w:rPr>
          <w:rFonts w:ascii="仿宋_GB2312" w:eastAsia="仿宋_GB2312" w:hAnsi="Times New Roman" w:cs="仿宋_GB2312" w:hint="eastAsia"/>
          <w:color w:val="FF0000"/>
          <w:sz w:val="32"/>
          <w:szCs w:val="32"/>
        </w:rPr>
        <w:t>0</w:t>
      </w:r>
      <w:r>
        <w:rPr>
          <w:rStyle w:val="grame"/>
          <w:rFonts w:ascii="仿宋_GB2312" w:eastAsia="仿宋_GB2312" w:hAnsi="Times New Roman" w:cs="仿宋_GB2312" w:hint="eastAsia"/>
          <w:sz w:val="32"/>
          <w:szCs w:val="32"/>
        </w:rPr>
        <w:t>个</w:t>
      </w:r>
      <w:r>
        <w:rPr>
          <w:rFonts w:ascii="仿宋_GB2312" w:eastAsia="仿宋_GB2312" w:hAnsi="Times New Roman" w:cs="仿宋_GB2312" w:hint="eastAsia"/>
          <w:sz w:val="32"/>
          <w:szCs w:val="32"/>
        </w:rPr>
        <w:t>，累计</w:t>
      </w:r>
      <w:r>
        <w:rPr>
          <w:rFonts w:ascii="仿宋_GB2312" w:eastAsia="仿宋_GB2312" w:hAnsi="Times New Roman" w:cs="仿宋_GB2312" w:hint="eastAsia"/>
          <w:color w:val="FF0000"/>
          <w:sz w:val="32"/>
          <w:szCs w:val="32"/>
        </w:rPr>
        <w:t>0</w:t>
      </w:r>
      <w:r>
        <w:rPr>
          <w:rFonts w:ascii="仿宋_GB2312" w:eastAsia="仿宋_GB2312" w:hAnsi="Times New Roman" w:cs="仿宋_GB2312" w:hint="eastAsia"/>
          <w:sz w:val="32"/>
          <w:szCs w:val="32"/>
        </w:rPr>
        <w:t>人次。较上年</w:t>
      </w:r>
      <w:r>
        <w:rPr>
          <w:rFonts w:ascii="仿宋_GB2312" w:eastAsia="仿宋_GB2312" w:hAnsi="Times New Roman" w:cs="仿宋_GB2312" w:hint="eastAsia"/>
          <w:color w:val="FF0000"/>
          <w:sz w:val="32"/>
          <w:szCs w:val="32"/>
        </w:rPr>
        <w:t>增加（减少）0.00</w:t>
      </w:r>
      <w:r>
        <w:rPr>
          <w:rFonts w:ascii="仿宋_GB2312" w:eastAsia="仿宋_GB2312" w:hAnsi="Times New Roman" w:cs="仿宋_GB2312" w:hint="eastAsia"/>
          <w:sz w:val="32"/>
          <w:szCs w:val="32"/>
        </w:rPr>
        <w:t>万元。</w:t>
      </w:r>
    </w:p>
    <w:p w14:paraId="1AD1E1CE"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b/>
          <w:bCs/>
          <w:sz w:val="32"/>
          <w:szCs w:val="32"/>
        </w:rPr>
        <w:t>公务用车购置及运行维护费支出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万元。其中：公务用车购置支出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万元，车均购置费</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万元，较上年</w:t>
      </w:r>
      <w:r>
        <w:rPr>
          <w:rFonts w:ascii="仿宋_GB2312" w:eastAsia="仿宋_GB2312" w:hAnsi="Times New Roman" w:cs="仿宋_GB2312" w:hint="eastAsia"/>
          <w:color w:val="FF0000"/>
          <w:sz w:val="32"/>
          <w:szCs w:val="32"/>
        </w:rPr>
        <w:t>增加0.00</w:t>
      </w:r>
      <w:r>
        <w:rPr>
          <w:rFonts w:ascii="仿宋_GB2312" w:eastAsia="仿宋_GB2312" w:hAnsi="Times New Roman" w:cs="仿宋_GB2312" w:hint="eastAsia"/>
          <w:sz w:val="32"/>
          <w:szCs w:val="32"/>
        </w:rPr>
        <w:t>万元。公务用车运行维护费支出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w:t>
      </w:r>
      <w:r>
        <w:rPr>
          <w:rStyle w:val="grame"/>
          <w:rFonts w:ascii="仿宋_GB2312" w:eastAsia="仿宋_GB2312" w:hAnsi="Times New Roman" w:cs="仿宋_GB2312" w:hint="eastAsia"/>
          <w:sz w:val="32"/>
          <w:szCs w:val="32"/>
        </w:rPr>
        <w:t>车均运维</w:t>
      </w:r>
      <w:r>
        <w:rPr>
          <w:rFonts w:ascii="仿宋_GB2312" w:eastAsia="仿宋_GB2312" w:hAnsi="Times New Roman" w:cs="仿宋_GB2312" w:hint="eastAsia"/>
          <w:sz w:val="32"/>
          <w:szCs w:val="32"/>
        </w:rPr>
        <w:t>费</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万元，较上年</w:t>
      </w:r>
      <w:r>
        <w:rPr>
          <w:rFonts w:ascii="仿宋_GB2312" w:eastAsia="仿宋_GB2312" w:hAnsi="Times New Roman" w:cs="仿宋_GB2312" w:hint="eastAsia"/>
          <w:color w:val="FF0000"/>
          <w:sz w:val="32"/>
          <w:szCs w:val="32"/>
        </w:rPr>
        <w:t>增加0.00</w:t>
      </w:r>
      <w:r>
        <w:rPr>
          <w:rFonts w:ascii="仿宋_GB2312" w:eastAsia="仿宋_GB2312" w:hAnsi="Times New Roman" w:cs="仿宋_GB2312" w:hint="eastAsia"/>
          <w:sz w:val="32"/>
          <w:szCs w:val="32"/>
        </w:rPr>
        <w:t>万元，财政拨款开支的公务用车保有量为</w:t>
      </w:r>
      <w:r>
        <w:rPr>
          <w:rFonts w:ascii="仿宋_GB2312" w:eastAsia="仿宋_GB2312" w:hAnsi="Times New Roman" w:cs="仿宋_GB2312" w:hint="eastAsia"/>
          <w:color w:val="FF0000"/>
          <w:sz w:val="32"/>
          <w:szCs w:val="32"/>
        </w:rPr>
        <w:t>0</w:t>
      </w:r>
      <w:r>
        <w:rPr>
          <w:rFonts w:ascii="仿宋_GB2312" w:eastAsia="仿宋_GB2312" w:hAnsi="Times New Roman" w:cs="仿宋_GB2312" w:hint="eastAsia"/>
          <w:sz w:val="32"/>
          <w:szCs w:val="32"/>
        </w:rPr>
        <w:t>辆。</w:t>
      </w:r>
    </w:p>
    <w:p w14:paraId="00D05DDA"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b/>
          <w:bCs/>
          <w:sz w:val="32"/>
          <w:szCs w:val="32"/>
        </w:rPr>
        <w:t>公务接待费支出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万元。其中：国内公务接待费</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万元，接待</w:t>
      </w:r>
      <w:r>
        <w:rPr>
          <w:rFonts w:ascii="仿宋_GB2312" w:eastAsia="仿宋_GB2312" w:hAnsi="Times New Roman" w:cs="仿宋_GB2312" w:hint="eastAsia"/>
          <w:color w:val="FF0000"/>
          <w:sz w:val="32"/>
          <w:szCs w:val="32"/>
        </w:rPr>
        <w:t>0</w:t>
      </w:r>
      <w:r>
        <w:rPr>
          <w:rFonts w:ascii="仿宋_GB2312" w:eastAsia="仿宋_GB2312" w:hAnsi="Times New Roman" w:cs="仿宋_GB2312" w:hint="eastAsia"/>
          <w:sz w:val="32"/>
          <w:szCs w:val="32"/>
        </w:rPr>
        <w:t>批次，共接待</w:t>
      </w:r>
      <w:r>
        <w:rPr>
          <w:rFonts w:ascii="仿宋_GB2312" w:eastAsia="仿宋_GB2312" w:hAnsi="Times New Roman" w:cs="仿宋_GB2312" w:hint="eastAsia"/>
          <w:color w:val="FF0000"/>
          <w:sz w:val="32"/>
          <w:szCs w:val="32"/>
        </w:rPr>
        <w:t>0</w:t>
      </w:r>
      <w:r>
        <w:rPr>
          <w:rFonts w:ascii="仿宋_GB2312" w:eastAsia="仿宋_GB2312" w:hAnsi="Times New Roman" w:cs="仿宋_GB2312" w:hint="eastAsia"/>
          <w:sz w:val="32"/>
          <w:szCs w:val="32"/>
        </w:rPr>
        <w:t>人次。国（境）外接待费</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万元，接待</w:t>
      </w:r>
      <w:r>
        <w:rPr>
          <w:rFonts w:ascii="仿宋_GB2312" w:eastAsia="仿宋_GB2312" w:hAnsi="Times New Roman" w:cs="仿宋_GB2312" w:hint="eastAsia"/>
          <w:color w:val="FF0000"/>
          <w:sz w:val="32"/>
          <w:szCs w:val="32"/>
        </w:rPr>
        <w:t>0</w:t>
      </w:r>
      <w:r>
        <w:rPr>
          <w:rFonts w:ascii="仿宋_GB2312" w:eastAsia="仿宋_GB2312" w:hAnsi="Times New Roman" w:cs="仿宋_GB2312" w:hint="eastAsia"/>
          <w:sz w:val="32"/>
          <w:szCs w:val="32"/>
        </w:rPr>
        <w:t>批次，共接待</w:t>
      </w:r>
      <w:r>
        <w:rPr>
          <w:rFonts w:ascii="仿宋_GB2312" w:eastAsia="仿宋_GB2312" w:hAnsi="Times New Roman" w:cs="仿宋_GB2312" w:hint="eastAsia"/>
          <w:color w:val="FF0000"/>
          <w:sz w:val="32"/>
          <w:szCs w:val="32"/>
        </w:rPr>
        <w:t>0</w:t>
      </w:r>
      <w:r>
        <w:rPr>
          <w:rFonts w:ascii="仿宋_GB2312" w:eastAsia="仿宋_GB2312" w:hAnsi="Times New Roman" w:cs="仿宋_GB2312" w:hint="eastAsia"/>
          <w:sz w:val="32"/>
          <w:szCs w:val="32"/>
        </w:rPr>
        <w:t>人次。较上年</w:t>
      </w:r>
      <w:r>
        <w:rPr>
          <w:rFonts w:ascii="仿宋_GB2312" w:eastAsia="仿宋_GB2312" w:hAnsi="Times New Roman" w:cs="仿宋_GB2312" w:hint="eastAsia"/>
          <w:color w:val="FF0000"/>
          <w:sz w:val="32"/>
          <w:szCs w:val="32"/>
        </w:rPr>
        <w:t>增加0.00</w:t>
      </w:r>
      <w:r>
        <w:rPr>
          <w:rFonts w:ascii="仿宋_GB2312" w:eastAsia="仿宋_GB2312" w:hAnsi="Times New Roman" w:cs="仿宋_GB2312" w:hint="eastAsia"/>
          <w:sz w:val="32"/>
          <w:szCs w:val="32"/>
        </w:rPr>
        <w:t>万元。</w:t>
      </w:r>
    </w:p>
    <w:p w14:paraId="54AD28A5"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三、预算绩效情况说明</w:t>
      </w:r>
    </w:p>
    <w:p w14:paraId="11FD217B"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（一）预算绩效管理工作开展情况</w:t>
      </w:r>
    </w:p>
    <w:p w14:paraId="36FA1AF7" w14:textId="77777777" w:rsidR="000F04BD" w:rsidRDefault="00E2067C">
      <w:pPr>
        <w:autoSpaceDE w:val="0"/>
        <w:autoSpaceDN w:val="0"/>
        <w:adjustRightInd w:val="0"/>
        <w:spacing w:before="100" w:beforeAutospacing="1" w:after="100" w:afterAutospacing="1" w:line="580" w:lineRule="exact"/>
        <w:ind w:firstLine="600"/>
        <w:divId w:val="1816415741"/>
        <w:rPr>
          <w:rFonts w:ascii="仿宋_GB2312" w:eastAsia="仿宋_GB2312" w:hAnsi="Times New Roman" w:cs="仿宋_GB2312"/>
          <w:sz w:val="32"/>
          <w:szCs w:val="32"/>
        </w:rPr>
      </w:pPr>
      <w:r>
        <w:rPr>
          <w:rFonts w:ascii="仿宋_GB2312" w:eastAsia="仿宋_GB2312" w:hAnsi="Times New Roman" w:cs="仿宋_GB2312" w:hint="eastAsia"/>
          <w:sz w:val="32"/>
          <w:szCs w:val="32"/>
        </w:rPr>
        <w:t>2019年初预算申报项目绩效28项目，包含水费、电费、手续费、邮电费、取暖费等日常公用支出。分别对第一级指标、二级指标、三级指标做了完整的项目绩效目标设定。2019年年终时对项目绩效目标完成情况进行自评，各项目绩效目标完成情况良好，基本完成年初设定的绩效目标。</w:t>
      </w:r>
    </w:p>
    <w:p w14:paraId="33E940CF"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（二）部门决算</w:t>
      </w:r>
      <w:r>
        <w:rPr>
          <w:rStyle w:val="grame"/>
          <w:rFonts w:ascii="仿宋_GB2312" w:eastAsia="仿宋_GB2312" w:hAnsi="Times New Roman" w:cs="仿宋_GB2312" w:hint="eastAsia"/>
          <w:sz w:val="32"/>
          <w:szCs w:val="32"/>
        </w:rPr>
        <w:t>中项目</w:t>
      </w:r>
      <w:r>
        <w:rPr>
          <w:rFonts w:ascii="仿宋_GB2312" w:eastAsia="仿宋_GB2312" w:hAnsi="Times New Roman" w:cs="仿宋_GB2312" w:hint="eastAsia"/>
          <w:sz w:val="32"/>
          <w:szCs w:val="32"/>
        </w:rPr>
        <w:t>绩效自评结果</w:t>
      </w:r>
    </w:p>
    <w:p w14:paraId="16681F31" w14:textId="5C41A99C" w:rsidR="000F04BD" w:rsidRDefault="00E2067C">
      <w:pPr>
        <w:autoSpaceDE w:val="0"/>
        <w:autoSpaceDN w:val="0"/>
        <w:adjustRightInd w:val="0"/>
        <w:spacing w:before="100" w:beforeAutospacing="1" w:after="100" w:afterAutospacing="1" w:line="580" w:lineRule="exact"/>
        <w:ind w:firstLine="600"/>
        <w:divId w:val="1816415741"/>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rPr>
        <w:lastRenderedPageBreak/>
        <w:t>2019年项目绩效情况完成良好，年初预算项目均能按照年初绩效目标设定实施。</w:t>
      </w:r>
      <w:bookmarkStart w:id="0" w:name="_GoBack"/>
      <w:bookmarkEnd w:id="0"/>
    </w:p>
    <w:p w14:paraId="3381540C"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四、其他重要事项的情况说明</w:t>
      </w:r>
    </w:p>
    <w:p w14:paraId="03822183"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（一）机关运行经费支出情况</w:t>
      </w:r>
    </w:p>
    <w:p w14:paraId="324C4734"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本部门2019年度机关运行经费支出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万元，比2018年</w:t>
      </w:r>
      <w:r>
        <w:rPr>
          <w:rFonts w:ascii="仿宋_GB2312" w:eastAsia="仿宋_GB2312" w:hAnsi="Times New Roman" w:cs="仿宋_GB2312" w:hint="eastAsia"/>
          <w:color w:val="FF0000"/>
          <w:sz w:val="32"/>
          <w:szCs w:val="32"/>
        </w:rPr>
        <w:t>增加0.00</w:t>
      </w:r>
      <w:r>
        <w:rPr>
          <w:rFonts w:ascii="仿宋_GB2312" w:eastAsia="仿宋_GB2312" w:hAnsi="Times New Roman" w:cs="仿宋_GB2312" w:hint="eastAsia"/>
          <w:sz w:val="32"/>
          <w:szCs w:val="32"/>
        </w:rPr>
        <w:t>万元。</w:t>
      </w:r>
    </w:p>
    <w:p w14:paraId="33545A9A"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int="eastAsia"/>
          <w:sz w:val="32"/>
          <w:szCs w:val="32"/>
        </w:rPr>
        <w:t>（二）政府采购支出情况</w:t>
      </w:r>
    </w:p>
    <w:p w14:paraId="46248F13"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本部门2019年度政府采购支出合计</w:t>
      </w:r>
      <w:r>
        <w:rPr>
          <w:rFonts w:ascii="仿宋_GB2312" w:eastAsia="仿宋_GB2312" w:hAnsi="Times New Roman" w:cs="仿宋_GB2312" w:hint="eastAsia"/>
          <w:color w:val="FF0000"/>
          <w:sz w:val="32"/>
          <w:szCs w:val="32"/>
        </w:rPr>
        <w:t>561.04</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hint="eastAsia"/>
          <w:color w:val="FF0000"/>
          <w:sz w:val="32"/>
          <w:szCs w:val="32"/>
        </w:rPr>
        <w:t>500.59</w:t>
      </w:r>
      <w:r>
        <w:rPr>
          <w:rFonts w:ascii="仿宋_GB2312" w:eastAsia="仿宋_GB2312" w:hAnsi="Times New Roman" w:cs="仿宋_GB2312" w:hint="eastAsia"/>
          <w:sz w:val="32"/>
          <w:szCs w:val="32"/>
        </w:rPr>
        <w:t>万元</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比2018年</w:t>
      </w:r>
      <w:r>
        <w:rPr>
          <w:rFonts w:ascii="仿宋_GB2312" w:eastAsia="仿宋_GB2312" w:hAnsi="Times New Roman" w:cs="仿宋_GB2312" w:hint="eastAsia"/>
          <w:color w:val="FF0000"/>
          <w:sz w:val="32"/>
          <w:szCs w:val="32"/>
        </w:rPr>
        <w:t>增加500.59</w:t>
      </w:r>
      <w:r>
        <w:rPr>
          <w:rFonts w:ascii="仿宋_GB2312" w:eastAsia="仿宋_GB2312" w:hAnsi="Times New Roman" w:cs="仿宋_GB2312" w:hint="eastAsia"/>
          <w:sz w:val="32"/>
          <w:szCs w:val="32"/>
        </w:rPr>
        <w:t>万元，，主要原因是2019年购置了医院信息化建设软硬件设备</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sz w:val="32"/>
          <w:szCs w:val="32"/>
        </w:rPr>
        <w:t>政府采购工程支出</w:t>
      </w:r>
      <w:r>
        <w:rPr>
          <w:rFonts w:ascii="仿宋_GB2312" w:eastAsia="仿宋_GB2312" w:hAnsi="Times New Roman" w:cs="仿宋_GB2312" w:hint="eastAsia"/>
          <w:color w:val="FF0000"/>
          <w:sz w:val="32"/>
          <w:szCs w:val="32"/>
        </w:rPr>
        <w:t>0.00</w:t>
      </w:r>
      <w:r>
        <w:rPr>
          <w:rFonts w:ascii="仿宋_GB2312" w:eastAsia="仿宋_GB2312" w:hAnsi="Times New Roman" w:cs="仿宋_GB2312" w:hint="eastAsia"/>
          <w:sz w:val="32"/>
          <w:szCs w:val="32"/>
        </w:rPr>
        <w:t>万元，比2018年</w:t>
      </w:r>
      <w:r>
        <w:rPr>
          <w:rFonts w:ascii="仿宋_GB2312" w:eastAsia="仿宋_GB2312" w:hAnsi="Times New Roman" w:cs="仿宋_GB2312" w:hint="eastAsia"/>
          <w:color w:val="FF0000"/>
          <w:sz w:val="32"/>
          <w:szCs w:val="32"/>
        </w:rPr>
        <w:t>增加0.00</w:t>
      </w:r>
      <w:r>
        <w:rPr>
          <w:rFonts w:ascii="仿宋_GB2312" w:eastAsia="仿宋_GB2312" w:hAnsi="Times New Roman" w:cs="仿宋_GB2312" w:hint="eastAsia"/>
          <w:sz w:val="32"/>
          <w:szCs w:val="32"/>
        </w:rPr>
        <w:t>万元</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sz w:val="32"/>
          <w:szCs w:val="32"/>
        </w:rPr>
        <w:t>政府采购服务支出</w:t>
      </w:r>
      <w:r>
        <w:rPr>
          <w:rFonts w:ascii="仿宋_GB2312" w:eastAsia="仿宋_GB2312" w:hAnsi="Times New Roman" w:cs="仿宋_GB2312" w:hint="eastAsia"/>
          <w:color w:val="FF0000"/>
          <w:sz w:val="32"/>
          <w:szCs w:val="32"/>
        </w:rPr>
        <w:t>60.45</w:t>
      </w:r>
      <w:r>
        <w:rPr>
          <w:rFonts w:ascii="仿宋_GB2312" w:eastAsia="仿宋_GB2312" w:hAnsi="Times New Roman" w:cs="仿宋_GB2312" w:hint="eastAsia"/>
          <w:sz w:val="32"/>
          <w:szCs w:val="32"/>
        </w:rPr>
        <w:t>万元，比2018年</w:t>
      </w:r>
      <w:r>
        <w:rPr>
          <w:rFonts w:ascii="仿宋_GB2312" w:eastAsia="仿宋_GB2312" w:hAnsi="Times New Roman" w:cs="仿宋_GB2312" w:hint="eastAsia"/>
          <w:color w:val="FF0000"/>
          <w:sz w:val="32"/>
          <w:szCs w:val="32"/>
        </w:rPr>
        <w:t>增加60.45</w:t>
      </w:r>
      <w:r>
        <w:rPr>
          <w:rFonts w:ascii="仿宋_GB2312" w:eastAsia="仿宋_GB2312" w:hAnsi="Times New Roman" w:cs="仿宋_GB2312" w:hint="eastAsia"/>
          <w:sz w:val="32"/>
          <w:szCs w:val="32"/>
        </w:rPr>
        <w:t>万元，主要原因是：2019年采购物业管理服务。</w:t>
      </w:r>
      <w:r>
        <w:rPr>
          <w:rFonts w:ascii="仿宋_GB2312" w:eastAsia="仿宋_GB2312" w:hAnsi="Times New Roman" w:cs="仿宋_GB2312" w:hint="eastAsia"/>
          <w:color w:val="000000"/>
          <w:sz w:val="32"/>
          <w:szCs w:val="32"/>
        </w:rPr>
        <w:t>授予中小企业合同金额561.04</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hint="eastAsia"/>
          <w:color w:val="FF0000"/>
          <w:sz w:val="32"/>
          <w:szCs w:val="32"/>
        </w:rPr>
        <w:t>100</w:t>
      </w:r>
      <w:r>
        <w:rPr>
          <w:rFonts w:ascii="仿宋_GB2312" w:eastAsia="仿宋_GB2312" w:hAnsi="Times New Roman" w:cs="仿宋_GB2312" w:hint="eastAsia"/>
          <w:color w:val="000000"/>
          <w:sz w:val="32"/>
          <w:szCs w:val="32"/>
        </w:rPr>
        <w:t>%。</w:t>
      </w:r>
    </w:p>
    <w:p w14:paraId="0391B089"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（三）国有资产占用情况</w:t>
      </w:r>
    </w:p>
    <w:p w14:paraId="072E2913"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截至2019年12月31日，本部门共有车辆</w:t>
      </w:r>
      <w:r>
        <w:rPr>
          <w:rFonts w:ascii="仿宋_GB2312" w:eastAsia="仿宋_GB2312" w:hAnsi="Times New Roman" w:cs="仿宋_GB2312" w:hint="eastAsia"/>
          <w:color w:val="FF0000"/>
          <w:sz w:val="32"/>
          <w:szCs w:val="32"/>
        </w:rPr>
        <w:t>5</w:t>
      </w:r>
      <w:r>
        <w:rPr>
          <w:rFonts w:ascii="仿宋_GB2312" w:eastAsia="仿宋_GB2312" w:hAnsi="Times New Roman" w:cs="仿宋_GB2312" w:hint="eastAsia"/>
          <w:sz w:val="32"/>
          <w:szCs w:val="32"/>
        </w:rPr>
        <w:t>辆，其他用车</w:t>
      </w:r>
      <w:r>
        <w:rPr>
          <w:rFonts w:ascii="仿宋_GB2312" w:eastAsia="仿宋_GB2312" w:hAnsi="Times New Roman" w:cs="仿宋_GB2312" w:hint="eastAsia"/>
          <w:color w:val="FF0000"/>
          <w:sz w:val="32"/>
          <w:szCs w:val="32"/>
        </w:rPr>
        <w:t>5</w:t>
      </w:r>
      <w:r>
        <w:rPr>
          <w:rFonts w:ascii="仿宋_GB2312" w:eastAsia="仿宋_GB2312" w:hAnsi="Times New Roman" w:cs="仿宋_GB2312" w:hint="eastAsia"/>
          <w:sz w:val="32"/>
          <w:szCs w:val="32"/>
        </w:rPr>
        <w:t>辆，主要是用于医院日常业务活动，其中3辆已经报损，正在报损流程进行中。单位价值100万元以上专用设备</w:t>
      </w:r>
      <w:r>
        <w:rPr>
          <w:rFonts w:ascii="仿宋_GB2312" w:eastAsia="仿宋_GB2312" w:hAnsi="Times New Roman" w:cs="仿宋_GB2312" w:hint="eastAsia"/>
          <w:color w:val="FF0000"/>
          <w:sz w:val="32"/>
          <w:szCs w:val="32"/>
        </w:rPr>
        <w:t>1</w:t>
      </w:r>
      <w:r>
        <w:rPr>
          <w:rFonts w:ascii="仿宋_GB2312" w:eastAsia="仿宋_GB2312" w:hAnsi="Times New Roman" w:cs="仿宋_GB2312" w:hint="eastAsia"/>
          <w:sz w:val="32"/>
          <w:szCs w:val="32"/>
        </w:rPr>
        <w:t>台比2018年</w:t>
      </w:r>
      <w:r>
        <w:rPr>
          <w:rFonts w:ascii="仿宋_GB2312" w:eastAsia="仿宋_GB2312" w:hAnsi="Times New Roman" w:cs="仿宋_GB2312" w:hint="eastAsia"/>
          <w:color w:val="FF0000"/>
          <w:sz w:val="32"/>
          <w:szCs w:val="32"/>
        </w:rPr>
        <w:t>增加（减少）0.00</w:t>
      </w:r>
      <w:r>
        <w:rPr>
          <w:rFonts w:ascii="仿宋_GB2312" w:eastAsia="仿宋_GB2312" w:hAnsi="Times New Roman" w:cs="仿宋_GB2312" w:hint="eastAsia"/>
          <w:color w:val="000000"/>
          <w:sz w:val="32"/>
          <w:szCs w:val="32"/>
        </w:rPr>
        <w:t>台（套）。</w:t>
      </w:r>
    </w:p>
    <w:p w14:paraId="10EA8550"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第三部分 名词解释</w:t>
      </w:r>
    </w:p>
    <w:p w14:paraId="10090583"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（一）财政拨款收入：指本年度从本级财政部门取得的财政拨款，包括一般公共预算财政拨款和政府性基金预算财政拨款。</w:t>
      </w:r>
    </w:p>
    <w:p w14:paraId="452535F3"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（二）事业收入：指事业单位开展专业业务活动及其辅助活动取得的收入；事业单位收到的财政专户实际核拨的教育收费等资金。</w:t>
      </w:r>
    </w:p>
    <w:p w14:paraId="3F93906E"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（三）经营收入：指事业单位在专业业务活动及其辅助活动之外开展非独立核算经营活动取得的收入。</w:t>
      </w:r>
    </w:p>
    <w:p w14:paraId="1B18AE0B"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14:paraId="1CD9ACEC"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（五）用事业基金弥补收支差额：指事业单位在当年的</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财政拨款收入</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财政拨款结转和结余资金</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事业收入</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事业单位经营收入</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其他收入</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不足以安排当年支出的情况下，使用以前年度累积的事业基金（当年收支相抵后按国家规定提取、用于弥补以后年度收支差额的基金）弥补本年收支缺口的资金。</w:t>
      </w:r>
    </w:p>
    <w:p w14:paraId="65CB93CD"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（六）年初结转和结余：</w:t>
      </w:r>
      <w:r>
        <w:rPr>
          <w:rFonts w:ascii="仿宋_GB2312" w:eastAsia="仿宋_GB2312" w:hAnsi="Times New Roman" w:cs="仿宋_GB2312" w:hint="eastAsia"/>
          <w:sz w:val="32"/>
          <w:szCs w:val="32"/>
          <w:highlight w:val="white"/>
        </w:rPr>
        <w:t>指以前年度支出预算因客观条件变化未执行完毕、结转到本年度按有关规定继续使用的资金。</w:t>
      </w:r>
    </w:p>
    <w:p w14:paraId="4DF216E8"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（七）结余分配</w:t>
      </w:r>
      <w:r>
        <w:rPr>
          <w:rFonts w:ascii="仿宋_GB2312" w:eastAsia="仿宋_GB2312" w:hAnsi="Times New Roman" w:cs="仿宋_GB2312" w:hint="eastAsia"/>
          <w:sz w:val="32"/>
          <w:szCs w:val="32"/>
          <w:highlight w:val="white"/>
        </w:rPr>
        <w:t>：指事业单位按照会计制度规定缴纳的所得税以及从非财政拨款结余中提取的职工福利基金、事业基金等。</w:t>
      </w:r>
    </w:p>
    <w:p w14:paraId="5B65B0A6"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（八）年末结转和结余</w:t>
      </w:r>
      <w:r>
        <w:rPr>
          <w:rFonts w:ascii="仿宋_GB2312" w:eastAsia="仿宋_GB2312" w:hAnsi="Times New Roman" w:cs="仿宋_GB2312" w:hint="eastAsia"/>
          <w:sz w:val="32"/>
          <w:szCs w:val="32"/>
          <w:highlight w:val="white"/>
        </w:rPr>
        <w:t>：指单位本年度或以前年度预算安排、因客观条件发生变化未全部执行或未执行，结转到以后年度继续使用的资金，或项目已完成等产生的结余资金。</w:t>
      </w:r>
    </w:p>
    <w:p w14:paraId="6736BF7F"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（九）基本支出：指为保障机构正常运转、完成日常工作任务而发生的人员经费和公用经费。其中：人员经费指政府收支分类经济科目中的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工资福利支出</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和</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对个人和家庭的补助</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；公用经费指政府收支分类经济科目中除</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工资福利支出</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和</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对个人和家庭的补助</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外的其他支出。</w:t>
      </w:r>
    </w:p>
    <w:p w14:paraId="3A5D5A42"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（十）项目支出：指在基本支出之外为完成特定任务和事业发展目标所发生的支出。</w:t>
      </w:r>
    </w:p>
    <w:p w14:paraId="2A5C57C4"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（十一）经营支出：指事业单位在专业业务活动及其辅助活动之外开展非独立核算经营活动发生的支出。</w:t>
      </w:r>
    </w:p>
    <w:p w14:paraId="339FC01D"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（十二）</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经费：指用财政拨款安排的因公出国（境）费、公务用车购置及运行维护费、公务接待费。其</w:t>
      </w:r>
      <w:r>
        <w:rPr>
          <w:rFonts w:ascii="仿宋_GB2312" w:eastAsia="仿宋_GB2312" w:hAnsi="Times New Roman" w:cs="仿宋_GB2312" w:hint="eastAsia"/>
          <w:sz w:val="32"/>
          <w:szCs w:val="32"/>
        </w:rPr>
        <w:lastRenderedPageBreak/>
        <w:t>中，因公出国（境）</w:t>
      </w:r>
      <w:r>
        <w:rPr>
          <w:rStyle w:val="grame"/>
          <w:rFonts w:ascii="仿宋_GB2312" w:eastAsia="仿宋_GB2312" w:hAnsi="Times New Roman" w:cs="仿宋_GB2312" w:hint="eastAsia"/>
          <w:sz w:val="32"/>
          <w:szCs w:val="32"/>
        </w:rPr>
        <w:t>费反映</w:t>
      </w:r>
      <w:r>
        <w:rPr>
          <w:rFonts w:ascii="仿宋_GB2312" w:eastAsia="仿宋_GB2312" w:hAnsi="Times New Roman" w:cs="仿宋_GB2312" w:hint="eastAsia"/>
          <w:sz w:val="32"/>
          <w:szCs w:val="32"/>
        </w:rPr>
        <w:t>单位公务出国（境）的国际旅费、国外城市间交通费、住宿费、伙食费、培训费、公杂费等支出；公务用车购置</w:t>
      </w:r>
      <w:r>
        <w:rPr>
          <w:rStyle w:val="grame"/>
          <w:rFonts w:ascii="仿宋_GB2312" w:eastAsia="仿宋_GB2312" w:hAnsi="Times New Roman" w:cs="仿宋_GB2312" w:hint="eastAsia"/>
          <w:sz w:val="32"/>
          <w:szCs w:val="32"/>
        </w:rPr>
        <w:t>费反映</w:t>
      </w:r>
      <w:r>
        <w:rPr>
          <w:rFonts w:ascii="仿宋_GB2312" w:eastAsia="仿宋_GB2312" w:hAnsi="Times New Roman" w:cs="仿宋_GB2312" w:hint="eastAsia"/>
          <w:sz w:val="32"/>
          <w:szCs w:val="32"/>
        </w:rPr>
        <w:t>单位公务用车购置支出（</w:t>
      </w:r>
      <w:r>
        <w:rPr>
          <w:rStyle w:val="grame"/>
          <w:rFonts w:ascii="仿宋_GB2312" w:eastAsia="仿宋_GB2312" w:hAnsi="Times New Roman" w:cs="仿宋_GB2312" w:hint="eastAsia"/>
          <w:sz w:val="32"/>
          <w:szCs w:val="32"/>
        </w:rPr>
        <w:t>含车辆</w:t>
      </w:r>
      <w:r>
        <w:rPr>
          <w:rFonts w:ascii="仿宋_GB2312" w:eastAsia="仿宋_GB2312" w:hAnsi="Times New Roman" w:cs="仿宋_GB2312" w:hint="eastAsia"/>
          <w:sz w:val="32"/>
          <w:szCs w:val="32"/>
        </w:rPr>
        <w:t>购置税）；公务用车运行维护费反映单位按规定保留的公务用车燃料费、维修费、过路过桥费、保险费、安全奖励费用等支出；公务接待</w:t>
      </w:r>
      <w:r>
        <w:rPr>
          <w:rStyle w:val="grame"/>
          <w:rFonts w:ascii="仿宋_GB2312" w:eastAsia="仿宋_GB2312" w:hAnsi="Times New Roman" w:cs="仿宋_GB2312" w:hint="eastAsia"/>
          <w:sz w:val="32"/>
          <w:szCs w:val="32"/>
        </w:rPr>
        <w:t>费反映</w:t>
      </w:r>
      <w:r>
        <w:rPr>
          <w:rFonts w:ascii="仿宋_GB2312" w:eastAsia="仿宋_GB2312" w:hAnsi="Times New Roman" w:cs="仿宋_GB2312" w:hint="eastAsia"/>
          <w:sz w:val="32"/>
          <w:szCs w:val="32"/>
        </w:rPr>
        <w:t>单位按规定开支的各类公务接待（含外宾接待）支出。</w:t>
      </w:r>
    </w:p>
    <w:p w14:paraId="1299DE12"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三）机关运行经费：指行政单位和参照公务员法管理的事业单位使用一般公共预算财政拨款安排的基本支出中的日常公用经费支出。未包含行政单位或参照公务员法管理事业单位的部门，参考此口径公开本部门的日常公用经费，并与预算公开保持一致。</w:t>
      </w:r>
    </w:p>
    <w:p w14:paraId="33E92198"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（十四）工资福利支出（支出经济分类科目类级）：反映单位开支的在职职工和编制</w:t>
      </w:r>
      <w:r>
        <w:rPr>
          <w:rStyle w:val="grame"/>
          <w:rFonts w:ascii="仿宋_GB2312" w:eastAsia="仿宋_GB2312" w:hAnsi="Times New Roman" w:cs="仿宋_GB2312" w:hint="eastAsia"/>
          <w:sz w:val="32"/>
          <w:szCs w:val="32"/>
        </w:rPr>
        <w:t>外长期</w:t>
      </w:r>
      <w:r>
        <w:rPr>
          <w:rFonts w:ascii="仿宋_GB2312" w:eastAsia="仿宋_GB2312" w:hAnsi="Times New Roman" w:cs="仿宋_GB2312" w:hint="eastAsia"/>
          <w:sz w:val="32"/>
          <w:szCs w:val="32"/>
        </w:rPr>
        <w:t>聘用人员的各类劳动报酬，以及为上述人员缴纳的各项社会保险费等。</w:t>
      </w:r>
    </w:p>
    <w:p w14:paraId="11BAA1E2"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（十五）商品和服务支出（支出经济分类科目类级）：反映单位购买商品和服务的支出（不包括用于购置固定资产的支出、战略性和应急储备支出）。</w:t>
      </w:r>
    </w:p>
    <w:p w14:paraId="3FE11087"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（十六）对个人和家庭的补助（支出经济分类科目类级）：反映用于对个人和家庭的补助支出。</w:t>
      </w:r>
    </w:p>
    <w:p w14:paraId="3843D213"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（十七）资本性支出（支出经济分类科目类级）：反映</w:t>
      </w:r>
      <w:r>
        <w:rPr>
          <w:rStyle w:val="grame"/>
          <w:rFonts w:ascii="仿宋_GB2312" w:eastAsia="仿宋_GB2312" w:hAnsi="Times New Roman" w:cs="仿宋_GB2312" w:hint="eastAsia"/>
          <w:sz w:val="32"/>
          <w:szCs w:val="32"/>
        </w:rPr>
        <w:t>非各级</w:t>
      </w:r>
      <w:r>
        <w:rPr>
          <w:rFonts w:ascii="仿宋_GB2312" w:eastAsia="仿宋_GB2312" w:hAnsi="Times New Roman" w:cs="仿宋_GB2312" w:hint="eastAsia"/>
          <w:sz w:val="32"/>
          <w:szCs w:val="32"/>
        </w:rPr>
        <w:t>发展与改革部门集中安排的用于购置固定资产、战略性和应急性储备、土地和无形资产，以及构建基础设施、大型修缮和财政支持企业更新改造所发生的支出。</w:t>
      </w:r>
    </w:p>
    <w:p w14:paraId="1CDF043D" w14:textId="77777777" w:rsidR="000F04BD" w:rsidRDefault="000F04BD">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p>
    <w:p w14:paraId="32B249C4"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第四部分 决算公开联系方式及信息反馈渠道</w:t>
      </w:r>
    </w:p>
    <w:p w14:paraId="7CC4A11E"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本单位决算公开信息反馈和联系方式：</w:t>
      </w:r>
    </w:p>
    <w:p w14:paraId="1E65EF97" w14:textId="77777777" w:rsidR="000F04BD" w:rsidRDefault="00E2067C">
      <w:pPr>
        <w:autoSpaceDE w:val="0"/>
        <w:autoSpaceDN w:val="0"/>
        <w:adjustRightInd w:val="0"/>
        <w:spacing w:before="100" w:beforeAutospacing="1" w:after="100" w:afterAutospacing="1" w:line="580" w:lineRule="exact"/>
        <w:ind w:firstLine="600"/>
        <w:divId w:val="1816415741"/>
        <w:rPr>
          <w:rFonts w:ascii="Times New Roman" w:eastAsia="仿宋_GB2312" w:hAnsi="Times New Roman" w:cs="Times New Roman"/>
          <w:sz w:val="18"/>
          <w:szCs w:val="18"/>
          <w:lang w:val="zh-CN"/>
        </w:rPr>
      </w:pPr>
      <w:r>
        <w:rPr>
          <w:rFonts w:ascii="仿宋_GB2312" w:eastAsia="仿宋_GB2312" w:hAnsi="Times New Roman" w:cs="仿宋_GB2312" w:hint="eastAsia"/>
          <w:sz w:val="32"/>
          <w:szCs w:val="32"/>
        </w:rPr>
        <w:t>联系人：</w:t>
      </w:r>
      <w:r>
        <w:rPr>
          <w:rFonts w:ascii="仿宋_GB2312" w:eastAsia="仿宋_GB2312" w:hAnsi="Times New Roman" w:cs="仿宋_GB2312" w:hint="eastAsia"/>
          <w:color w:val="FF0000"/>
          <w:sz w:val="32"/>
          <w:szCs w:val="32"/>
        </w:rPr>
        <w:t>薄晶晶</w:t>
      </w:r>
      <w:r>
        <w:rPr>
          <w:rFonts w:ascii="仿宋_GB2312" w:eastAsia="仿宋_GB2312" w:hAnsi="Times New Roman" w:cs="仿宋_GB2312"/>
          <w:color w:val="FF0000"/>
          <w:sz w:val="32"/>
          <w:szCs w:val="32"/>
        </w:rPr>
        <w:t> </w:t>
      </w:r>
      <w:r>
        <w:rPr>
          <w:rFonts w:ascii="仿宋_GB2312" w:eastAsia="仿宋_GB2312" w:hAnsi="Times New Roman" w:cs="仿宋_GB2312" w:hint="eastAsia"/>
          <w:sz w:val="32"/>
          <w:szCs w:val="32"/>
        </w:rPr>
        <w:t xml:space="preserve">   联系电话：</w:t>
      </w:r>
      <w:r>
        <w:rPr>
          <w:rFonts w:ascii="仿宋_GB2312" w:eastAsia="仿宋_GB2312" w:hAnsi="Times New Roman" w:cs="仿宋_GB2312" w:hint="eastAsia"/>
          <w:color w:val="FF0000"/>
          <w:sz w:val="32"/>
          <w:szCs w:val="32"/>
        </w:rPr>
        <w:t>0471</w:t>
      </w:r>
      <w:r>
        <w:rPr>
          <w:rFonts w:ascii="Times New Roman" w:eastAsia="仿宋_GB2312" w:hAnsi="Times New Roman" w:cs="Times New Roman"/>
          <w:sz w:val="32"/>
          <w:szCs w:val="32"/>
        </w:rPr>
        <w:t>-</w:t>
      </w:r>
      <w:r>
        <w:rPr>
          <w:rFonts w:ascii="仿宋_GB2312" w:eastAsia="仿宋_GB2312" w:hAnsi="Times New Roman" w:cs="仿宋_GB2312" w:hint="eastAsia"/>
          <w:color w:val="FF0000"/>
          <w:sz w:val="32"/>
          <w:szCs w:val="32"/>
        </w:rPr>
        <w:t>6323251</w:t>
      </w:r>
    </w:p>
    <w:p w14:paraId="47A538B7" w14:textId="77777777" w:rsidR="00E2067C" w:rsidRDefault="00E2067C">
      <w:pPr>
        <w:autoSpaceDE w:val="0"/>
        <w:autoSpaceDN w:val="0"/>
        <w:adjustRightInd w:val="0"/>
        <w:spacing w:before="100" w:beforeAutospacing="1" w:after="100" w:afterAutospacing="1"/>
        <w:divId w:val="1816415741"/>
        <w:rPr>
          <w:rFonts w:ascii="Times New Roman" w:eastAsia="仿宋_GB2312" w:hAnsi="Times New Roman" w:cs="Times New Roman"/>
          <w:b/>
          <w:bCs/>
          <w:sz w:val="36"/>
          <w:szCs w:val="36"/>
        </w:rPr>
      </w:pPr>
    </w:p>
    <w:sectPr w:rsidR="00E2067C">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3F561" w14:textId="77777777" w:rsidR="00271E5C" w:rsidRDefault="00271E5C">
      <w:r>
        <w:separator/>
      </w:r>
    </w:p>
  </w:endnote>
  <w:endnote w:type="continuationSeparator" w:id="0">
    <w:p w14:paraId="22A83081" w14:textId="77777777" w:rsidR="00271E5C" w:rsidRDefault="002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SimSun"/>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206D" w14:textId="77777777" w:rsidR="00271E5C" w:rsidRDefault="00271E5C">
      <w:r>
        <w:separator/>
      </w:r>
    </w:p>
  </w:footnote>
  <w:footnote w:type="continuationSeparator" w:id="0">
    <w:p w14:paraId="610B1B1F" w14:textId="77777777" w:rsidR="00271E5C" w:rsidRDefault="00271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1E"/>
    <w:rsid w:val="000F04BD"/>
    <w:rsid w:val="001B50F6"/>
    <w:rsid w:val="0022101E"/>
    <w:rsid w:val="00271E5C"/>
    <w:rsid w:val="0083344E"/>
    <w:rsid w:val="00E2067C"/>
    <w:rsid w:val="00E64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B9D23"/>
  <w15:chartTrackingRefBased/>
  <w15:docId w15:val="{C0EFF04D-3176-44B4-878E-B3683796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cs="Times New Roman"/>
    </w:rPr>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Pr>
      <w:rFonts w:ascii="宋体" w:eastAsia="宋体" w:hAnsi="宋体" w:cs="宋体"/>
      <w:sz w:val="18"/>
      <w:szCs w:val="18"/>
    </w:rPr>
  </w:style>
  <w:style w:type="paragraph" w:styleId="a5">
    <w:name w:val="footer"/>
    <w:basedOn w:val="a"/>
    <w:link w:val="Char0"/>
    <w:uiPriority w:val="99"/>
    <w:semiHidden/>
    <w:unhideWhenUsed/>
    <w:pPr>
      <w:tabs>
        <w:tab w:val="center" w:pos="4153"/>
        <w:tab w:val="right" w:pos="8306"/>
      </w:tabs>
      <w:snapToGrid w:val="0"/>
    </w:pPr>
    <w:rPr>
      <w:sz w:val="18"/>
      <w:szCs w:val="18"/>
    </w:rPr>
  </w:style>
  <w:style w:type="character" w:customStyle="1" w:styleId="a6">
    <w:name w:val="页脚 字符"/>
    <w:basedOn w:val="a0"/>
    <w:uiPriority w:val="99"/>
    <w:semiHidden/>
    <w:rPr>
      <w:rFonts w:ascii="宋体" w:eastAsia="宋体" w:hAnsi="宋体" w:cs="宋体"/>
      <w:sz w:val="18"/>
      <w:szCs w:val="18"/>
    </w:rPr>
  </w:style>
  <w:style w:type="character" w:customStyle="1" w:styleId="Char">
    <w:name w:val="页眉 Char"/>
    <w:basedOn w:val="a0"/>
    <w:link w:val="a3"/>
    <w:uiPriority w:val="99"/>
    <w:semiHidden/>
    <w:locked/>
    <w:rPr>
      <w:rFonts w:ascii="宋体" w:eastAsia="宋体" w:hAnsi="宋体" w:cs="宋体" w:hint="eastAsia"/>
      <w:sz w:val="18"/>
      <w:szCs w:val="18"/>
    </w:rPr>
  </w:style>
  <w:style w:type="character" w:customStyle="1" w:styleId="Char0">
    <w:name w:val="页脚 Char"/>
    <w:basedOn w:val="a0"/>
    <w:link w:val="a5"/>
    <w:uiPriority w:val="99"/>
    <w:semiHidden/>
    <w:locked/>
    <w:rPr>
      <w:rFonts w:ascii="宋体" w:eastAsia="宋体" w:hAnsi="宋体" w:cs="宋体" w:hint="eastAsia"/>
      <w:sz w:val="18"/>
      <w:szCs w:val="18"/>
    </w:rPr>
  </w:style>
  <w:style w:type="character" w:customStyle="1" w:styleId="grame">
    <w:name w:val="gr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1574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subject/>
  <dc:creator>te ying</dc:creator>
  <cp:keywords/>
  <dc:description/>
  <cp:lastModifiedBy>薄晶晶</cp:lastModifiedBy>
  <cp:revision>5</cp:revision>
  <dcterms:created xsi:type="dcterms:W3CDTF">2020-09-14T07:02:00Z</dcterms:created>
  <dcterms:modified xsi:type="dcterms:W3CDTF">2020-09-14T08:10:00Z</dcterms:modified>
</cp:coreProperties>
</file>